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60" w:after="880"/>
        <w:jc w:val="center"/>
      </w:pPr>
      <w:r>
        <w:drawing>
          <wp:inline xmlns:a="http://schemas.openxmlformats.org/drawingml/2006/main" xmlns:pic="http://schemas.openxmlformats.org/drawingml/2006/picture">
            <wp:extent cx="1260000" cy="3906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390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spacing w:after="340"/>
        <w:jc w:val="center"/>
      </w:pPr>
      <w:r>
        <w:rPr>
          <w:rFonts w:ascii="Segoe UI" w:hAnsi="Segoe UI" w:eastAsia="Microsoft YaHei" w:cs="Segoe UI"/>
          <w:sz w:val="20"/>
          <w:szCs w:val="20"/>
          <w:b w:val="0"/>
          <w:bCs w:val="0"/>
          <w:color w:val="177D83"/>
          <w:i w:val="0"/>
          <w:iCs w:val="0"/>
        </w:rPr>
        <w:t>iPollo 产品文档  /  01</w:t>
      </w:r>
    </w:p>
    <w:p>
      <w:pPr>
        <w:pStyle w:val="Title"/>
        <w:jc w:val="center"/>
      </w:pPr>
      <w:r>
        <w:t>iPollo 生态与协同</w:t>
        <w:br/>
        <w:t>使用指南</w:t>
      </w:r>
    </w:p>
    <w:p>
      <w:pPr>
        <w:pStyle w:val="FrontMetadata"/>
        <w:spacing w:after="600"/>
        <w:jc w:val="center"/>
      </w:pPr>
      <w:r>
        <w:t>使用指南与操作参考</w:t>
      </w:r>
    </w:p>
    <w:p>
      <w:pPr>
        <w:spacing w:line="240" w:lineRule="auto" w:after="600"/>
        <w:jc w:val="center"/>
      </w:pPr>
      <w:r>
        <w:drawing>
          <wp:inline xmlns:a="http://schemas.openxmlformats.org/drawingml/2006/main" xmlns:pic="http://schemas.openxmlformats.org/drawingml/2006/picture">
            <wp:extent cx="5940000" cy="2404286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04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rontMetadata"/>
        <w:jc w:val="center"/>
      </w:pPr>
      <w:r>
        <w:t>iPollo</w:t>
      </w:r>
    </w:p>
    <w:p>
      <w:pPr>
        <w:pStyle w:val="FrontMetadata"/>
        <w:jc w:val="center"/>
      </w:pPr>
      <w:r>
        <w:t>文档编号  IP-ECO</w:t>
      </w:r>
    </w:p>
    <w:p>
      <w:pPr>
        <w:pStyle w:val="FrontMetadata"/>
        <w:jc w:val="center"/>
        <w:sectPr w:rsidR="00FC693F" w:rsidRPr="0006063C" w:rsidSect="00034616">
          <w:pgSz w:w="11906" w:h="16838"/>
          <w:pgMar w:top="1417" w:right="1134" w:bottom="1134" w:left="1417" w:header="851" w:footer="567" w:gutter="0"/>
          <w:cols w:space="720"/>
          <w:type w:val="nextPage"/>
        </w:sectPr>
      </w:pPr>
      <w:r>
        <w:t>2026 年 11 月 2 日</w:t>
      </w:r>
    </w:p>
    <w:p>
      <w:pPr>
        <w:pStyle w:val="FrontTitle"/>
        <w:pageBreakBefore w:val="1"/>
        <w:jc w:val="center"/>
      </w:pPr>
      <w:r>
        <w:t>摘  要</w:t>
      </w:r>
    </w:p>
    <w:p>
      <w:pPr>
        <w:pStyle w:val="AbstractBody"/>
        <w:ind w:firstLine="440"/>
        <w:jc w:val="both"/>
      </w:pPr>
      <w:r>
        <w:t>本指南说明 iPolloWork、iPollo Enterprise Server 与 iPolloOS 的职责、连接关系和使用边界，帮助产品评估人员、企业负责人及部署管理员选择适合的组合，并建立从任务接入到成果交付的完整认识。Work 负责日常任务与创作，Enterprise 管理组织与私有资源，OS 管理设备、模型和应用部署。</w:t>
      </w:r>
    </w:p>
    <w:p>
      <w:pPr>
        <w:pStyle w:val="AbstractBody"/>
        <w:ind w:firstLine="440"/>
        <w:jc w:val="both"/>
      </w:pPr>
      <w:r>
        <w:t>全书先介绍产品分工与场景选择，再整合企业功能使用教程中的七步接入流程，随后按调用私有模型、共享企业资源、开发并发布网站等场景讲解协同操作。授权条件、部署验收和配套手册导航在后续章节集中说明，便于读者按职责查阅。</w:t>
      </w:r>
    </w:p>
    <w:p>
      <w:pPr>
        <w:pStyle w:val="AbstractBody"/>
        <w:ind w:firstLine="440"/>
        <w:jc w:val="both"/>
      </w:pPr>
      <w:r>
        <w:t>使用时应分别确认账号身份、企业资源权限、模型入口与执行环境，再检查最终成果。本指南中的界面用于说明操作位置；涉及服务器、模型和外部服务的流程，需要在目标环境核对实际结果。具体功能的逐项操作请结合对应软件手册阅读。</w:t>
      </w:r>
    </w:p>
    <w:p>
      <w:pPr>
        <w:pStyle w:val="AbstractBody"/>
        <w:spacing w:before="200" w:after="440"/>
      </w:pPr>
      <w:r>
        <w:rPr>
          <w:rFonts w:ascii="Segoe UI" w:hAnsi="Segoe UI" w:eastAsia="Microsoft YaHei" w:cs="Segoe UI"/>
          <w:sz w:val="22"/>
          <w:szCs w:val="22"/>
          <w:b w:val="1"/>
          <w:bCs w:val="1"/>
          <w:color w:val="177D83"/>
          <w:i w:val="0"/>
          <w:iCs w:val="0"/>
        </w:rPr>
        <w:t>关键词：</w:t>
      </w:r>
      <w:r>
        <w:t>iPollo 生态；软件协同；企业接入；部署验收</w:t>
      </w:r>
    </w:p>
    <w:p>
      <w:pPr>
        <w:pStyle w:val="FrontMetadata"/>
        <w:spacing w:after="220"/>
      </w:pPr>
      <w:r>
        <w:t>适用读者  产品评估人员、企业负责人、部署管理员</w:t>
      </w:r>
    </w:p>
    <w:p>
      <w:pPr>
        <w:pStyle w:val="FrontMetadata"/>
      </w:pPr>
      <w:r>
        <w:t>版本说明  操作界面采集于 2026 年 11 月 2 日。功能说明结合原项目指南与本地项目资料整理；实际能力以目标版本、权限和部署环境为准。</w:t>
      </w:r>
    </w:p>
    <w:p>
      <w:pPr>
        <w:pStyle w:val="FrontMetadata"/>
      </w:pPr>
      <w:r>
        <w:t>图示说明  截图聚焦操作入口与配置位置，图下注明关注点。模型调用、远程部署和外部服务的最终结果，需要在实际环境确认。</w:t>
      </w:r>
    </w:p>
    <w:p>
      <w:pPr>
        <w:pStyle w:val="FrontTitle"/>
        <w:pageBreakBefore w:val="1"/>
        <w:jc w:val="center"/>
      </w:pPr>
      <w:r>
        <w:t>目  录</w:t>
      </w:r>
    </w:p>
    <w:p>
      <w:pPr>
        <w:pStyle w:val="TOC1"/>
        <w:keepNext/>
        <w:tabs>
          <w:tab w:pos="9354" w:val="right" w:leader="dot"/>
        </w:tabs>
        <w:ind w:left="0"/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formal_eco_001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1 章  认识 iPollo 生态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formal_eco_001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02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1.1  概念说明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formal_eco_002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0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1.2  主要能力分工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formal_eco_003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co_004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2 章  软件连接与场景选择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formal_eco_004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0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2.1  使用前区分三类地址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formal_eco_005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0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2.2  按使用场景选择搭配方案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formal_eco_006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4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co_012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3 章  从部署到企业成员使用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3.1  步骤 1 安装并打开 iPolloOS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3.2  步骤 2 部署企业后台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5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3.3  步骤 3 取得企业地址和加入码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3.4  步骤 4 在 Work 登录账号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7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7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3.5  步骤 5 加入企业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7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3.6  步骤 6 选择企业资源并开始工作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1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3.7  步骤 7 审核投稿并分配使用范围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formal_eco_019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8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co_020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4 章  按场景完成软件协同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formal_eco_020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9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1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4.1  让 Work 调用 OS 模型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formal_eco_021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9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2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4.2  团队共享模板与插件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formal_eco_022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10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3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4.3  在 Work 开发并经 OS 发布网站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11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co_025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5 章  授权与部署验收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formal_eco_025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6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5.1  Work 与 OS 的主要授权条件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formal_eco_026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7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5.2  Enterprise 的商业边界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formal_eco_027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8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5.3  许可信息的统一口径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formal_eco_028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12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</w:pPr>
      <w:hyperlink w:anchor="formal_eco_029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5.4  部署选择与交付验收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formal_eco_029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13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1"/>
        <w:keepNext/>
        <w:tabs>
          <w:tab w:pos="9354" w:val="right" w:leader="dot"/>
        </w:tabs>
        <w:ind w:left="0"/>
      </w:pPr>
      <w:hyperlink w:anchor="formal_eco_033" w:history="1">
        <w:r>
          <w:rPr>
            <w:rFonts w:ascii="Segoe UI" w:hAnsi="Segoe UI" w:eastAsia="Microsoft YaHei" w:cs="Segoe UI"/>
            <w:sz w:val="22"/>
            <w:szCs w:val="22"/>
            <w:b w:val="1"/>
            <w:bCs w:val="1"/>
            <w:color w:val="177D83"/>
            <w:i w:val="0"/>
            <w:iCs w:val="0"/>
          </w:rPr>
          <w:t>第 6 章  文档导航与资料依据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formal_eco_033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15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</w:p>
    <w:p>
      <w:pPr>
        <w:pStyle w:val="TOC2"/>
        <w:keepNext w:val="0"/>
        <w:tabs>
          <w:tab w:pos="9354" w:val="right" w:leader="dot"/>
        </w:tabs>
        <w:ind w:left="255"/>
        <w:sectPr w:rsidR="00FC693F" w:rsidRPr="0006063C" w:rsidSect="0003461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134" w:bottom="1134" w:left="1417" w:header="851" w:footer="567" w:gutter="0"/>
          <w:cols w:space="720"/>
          <w:pgNumType w:fmt="upperRoman" w:start="1"/>
          <w:type w:val="nextPage"/>
        </w:sectPr>
      </w:pPr>
      <w:hyperlink w:anchor="formal_eco_034" w:history="1">
        <w:r>
          <w:rPr>
            <w:rFonts w:ascii="Segoe UI" w:hAnsi="Segoe UI" w:eastAsia="Microsoft YaHei" w:cs="Segoe UI"/>
            <w:sz w:val="21"/>
            <w:szCs w:val="21"/>
            <w:b w:val="0"/>
            <w:bCs w:val="0"/>
            <w:color w:val="161E24"/>
            <w:i w:val="0"/>
            <w:iCs w:val="0"/>
          </w:rPr>
          <w:t>6.1  项目仓库入口</w:t>
        </w:r>
      </w:hyperlink>
      <w:r>
        <w:tab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begin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instrText xml:space="preserve"> PAGEREF formal_eco_034 \h </w:instrTex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separate"/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t>16</w:t>
      </w:r>
      <w:r>
        <w:rPr>
          <w:rFonts w:ascii="Segoe UI" w:hAnsi="Segoe UI" w:eastAsia="Microsoft YaHei" w:cs="Segoe UI"/>
          <w:sz w:val="18"/>
          <w:szCs w:val="18"/>
          <w:color w:val="000000"/>
          <w:b w:val="0"/>
          <w:bCs w:val="0"/>
        </w:rPr>
        <w:fldChar w:fldCharType="end"/>
      </w:r>
      <w:r>
        <w:fldChar w:fldCharType="end"/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00" w:name="formal_eco_001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1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认识 iPollo 生态</w:t>
      </w:r>
      <w:bookmarkEnd w:id="20000"/>
    </w:p>
    <w:p>
      <w:pPr>
        <w:widowControl/>
        <w:snapToGrid w:val="0"/>
      </w:pPr>
      <w:r>
        <w:t>Work 承接日常任务与创作，Enterprise 管理企业成员和私有资源，OS 管理设备、模型与应用部署。按需要组合使用，并为企业资源、模型入口和最终交付分别验收。</w:t>
      </w:r>
    </w:p>
    <w:p>
      <w:pPr>
        <w:widowControl/>
        <w:snapToGrid w:val="0"/>
      </w:pPr>
      <w:r>
        <w:t>下表按产品职责划分项目。Enterprise 是企业服务的正式名称，文档统一使用 iPollo Enterprise Server；代码仓库名称为 iPolloEnterprise。</w:t>
      </w:r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1964"/>
        <w:gridCol w:w="2463"/>
        <w:gridCol w:w="2463"/>
        <w:gridCol w:w="2463"/>
      </w:tblGrid>
      <w:tr>
        <w:trPr>
          <w:cantSplit/>
          <w:tblHeader w:val="1"/>
        </w:trPr>
        <w:tc>
          <w:tcPr>
            <w:tcW w:type="dxa" w:w="1964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项目</w:t>
            </w:r>
          </w:p>
        </w:tc>
        <w:tc>
          <w:tcPr>
            <w:tcW w:type="dxa" w:w="246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产品定位</w:t>
            </w:r>
          </w:p>
        </w:tc>
        <w:tc>
          <w:tcPr>
            <w:tcW w:type="dxa" w:w="246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主要使用者</w:t>
            </w:r>
          </w:p>
        </w:tc>
        <w:tc>
          <w:tcPr>
            <w:tcW w:type="dxa" w:w="246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部署形态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iPolloWork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AI 任务与可编辑创作工作台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个人用户、创作人员、开发者与项目团队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桌面客户端；可连接远程 Worker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 Enterprise Server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企业成员和私有资源服务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企业管理员、部门负责人、员工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独立私有部署；也可由 OS 部署企业后台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iPolloOS</w:t>
            </w:r>
          </w:p>
        </w:tc>
        <w:tc>
          <w:tcPr>
            <w:tcW w:type="dxa" w:w="246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AI 设备与计算基础设施工作台</w:t>
            </w:r>
          </w:p>
        </w:tc>
        <w:tc>
          <w:tcPr>
            <w:tcW w:type="dxa" w:w="246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个人设备所有者、模型与服务器管理员</w:t>
            </w:r>
          </w:p>
        </w:tc>
        <w:tc>
          <w:tcPr>
            <w:tcW w:type="dxa" w:w="246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桌面管理端、本机服务、远程 Linux 节点</w:t>
            </w:r>
          </w:p>
        </w:tc>
      </w:tr>
    </w:tbl>
    <w:p>
      <w:pPr>
        <w:widowControl/>
        <w:snapToGrid w:val="0"/>
        <w:spacing w:after="20"/>
      </w:pPr>
    </w:p>
    <w:p>
      <w:pPr>
        <w:pStyle w:val="Heading2"/>
        <w:keepNext/>
        <w:widowControl/>
        <w:snapToGrid w:val="0"/>
        <w:jc w:val="left"/>
      </w:pPr>
      <w:bookmarkStart w:id="20001" w:name="formal_eco_00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概念说明</w:t>
      </w:r>
      <w:bookmarkEnd w:id="20001"/>
    </w:p>
    <w:p>
      <w:pPr>
        <w:widowControl/>
        <w:snapToGrid w:val="0"/>
      </w:pPr>
      <w:r>
        <w:t>Worker 指运行 Work 智能体任务的执行实例；模型服务提供推理 API，两者承担的职责不同。Skill 是可复用的操作方法和配套资源；MCP 是连接外部工具与数据的协议。Enterprise Session 用于企业资源访问，模型 API Key 用于推理调用，两类凭据分别管理。</w:t>
      </w:r>
    </w:p>
    <w:p>
      <w:pPr>
        <w:widowControl/>
        <w:snapToGrid w:val="0"/>
      </w:pPr>
      <w:r>
        <w:t>依据 [1] [3] [5]。功能对照表示职责归属，不代表各项目全部部署后已完成联合生产验收。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02" w:name="formal_eco_00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1.2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主要能力分工</w:t>
      </w:r>
      <w:bookmarkEnd w:id="20002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2447"/>
        <w:gridCol w:w="2303"/>
        <w:gridCol w:w="2303"/>
        <w:gridCol w:w="2303"/>
      </w:tblGrid>
      <w:tr>
        <w:trPr>
          <w:cantSplit/>
          <w:tblHeader w:val="1"/>
        </w:trPr>
        <w:tc>
          <w:tcPr>
            <w:tcW w:type="dxa" w:w="2447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能力</w:t>
            </w:r>
          </w:p>
        </w:tc>
        <w:tc>
          <w:tcPr>
            <w:tcW w:type="dxa" w:w="230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Work</w:t>
            </w:r>
          </w:p>
        </w:tc>
        <w:tc>
          <w:tcPr>
            <w:tcW w:type="dxa" w:w="230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Enterprise</w:t>
            </w:r>
          </w:p>
        </w:tc>
        <w:tc>
          <w:tcPr>
            <w:tcW w:type="dxa" w:w="230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OS</w:t>
            </w:r>
          </w:p>
        </w:tc>
      </w:tr>
      <w:tr>
        <w:trPr>
          <w:cantSplit/>
        </w:trPr>
        <w:tc>
          <w:tcPr>
            <w:tcW w:type="dxa" w:w="244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AI 对话和任务执行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主要入口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管理资源来源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提供模型 API</w:t>
            </w:r>
          </w:p>
        </w:tc>
      </w:tr>
      <w:tr>
        <w:trPr>
          <w:cantSplit/>
        </w:trPr>
        <w:tc>
          <w:tcPr>
            <w:tcW w:type="dxa" w:w="244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代码 文档 设计 PPT 视频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创作与编辑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企业资源分发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提供模型与部署能力</w:t>
            </w:r>
          </w:p>
        </w:tc>
      </w:tr>
      <w:tr>
        <w:trPr>
          <w:cantSplit/>
        </w:trPr>
        <w:tc>
          <w:tcPr>
            <w:tcW w:type="dxa" w:w="244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企业成员 部门 权限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消费授权结果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主要责任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复用企业模块</w:t>
            </w:r>
          </w:p>
        </w:tc>
      </w:tr>
      <w:tr>
        <w:trPr>
          <w:cantSplit/>
        </w:trPr>
        <w:tc>
          <w:tcPr>
            <w:tcW w:type="dxa" w:w="244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模板 插件 技能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安装和使用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私有资源治理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复用资源管理</w:t>
            </w:r>
          </w:p>
        </w:tc>
      </w:tr>
      <w:tr>
        <w:trPr>
          <w:cantSplit/>
        </w:trPr>
        <w:tc>
          <w:tcPr>
            <w:tcW w:type="dxa" w:w="244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模型安装 设备和推理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调用外部模型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保存授权关系</w:t>
            </w:r>
          </w:p>
        </w:tc>
        <w:tc>
          <w:tcPr>
            <w:tcW w:type="dxa" w:w="230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主要责任</w:t>
            </w:r>
          </w:p>
        </w:tc>
      </w:tr>
      <w:tr>
        <w:trPr>
          <w:cantSplit/>
        </w:trPr>
        <w:tc>
          <w:tcPr>
            <w:tcW w:type="dxa" w:w="244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源码 容器和集群部署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创建源码或调用 Skill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部署企业服务</w:t>
            </w:r>
          </w:p>
        </w:tc>
        <w:tc>
          <w:tcPr>
            <w:tcW w:type="dxa" w:w="230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主要责任</w:t>
            </w:r>
          </w:p>
        </w:tc>
      </w:tr>
    </w:tbl>
    <w:p>
      <w:pPr>
        <w:widowControl/>
        <w:snapToGrid w:val="0"/>
        <w:spacing w:after="20"/>
      </w:pPr>
    </w:p>
    <w:p>
      <w:pPr>
        <w:pStyle w:val="Heading1"/>
        <w:keepNext/>
        <w:pageBreakBefore w:val="1"/>
        <w:widowControl/>
        <w:snapToGrid w:val="0"/>
        <w:jc w:val="center"/>
      </w:pPr>
      <w:bookmarkStart w:id="20003" w:name="formal_eco_004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2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软件连接与场景选择</w:t>
      </w:r>
      <w:bookmarkEnd w:id="20003"/>
    </w:p>
    <w:p>
      <w:pPr>
        <w:widowControl/>
        <w:snapToGrid w:val="0"/>
      </w:pPr>
      <w:r>
        <w:t>Work 是用户入口，其他项目按接口向它提供服务。下面是职责与调用关系，连线表示可组合的连接方式；是否可用取决于相关服务和权限配置。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376000"/>
            <wp:docPr id="3" name="Picture 3" descr="四个软件的主要连接关系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ource-image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76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 w:val="0"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01  三个软件的主要连接关系</w:t>
      </w:r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1964"/>
        <w:gridCol w:w="3695"/>
        <w:gridCol w:w="3695"/>
      </w:tblGrid>
      <w:tr>
        <w:trPr>
          <w:cantSplit/>
          <w:tblHeader w:val="1"/>
        </w:trPr>
        <w:tc>
          <w:tcPr>
            <w:tcW w:type="dxa" w:w="1964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组合</w:t>
            </w:r>
          </w:p>
        </w:tc>
        <w:tc>
          <w:tcPr>
            <w:tcW w:type="dxa" w:w="3695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如何连接</w:t>
            </w:r>
          </w:p>
        </w:tc>
        <w:tc>
          <w:tcPr>
            <w:tcW w:type="dxa" w:w="3695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执行与数据归属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Work 与 Enterprise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企业地址和加入码；独立 Enterprise Session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企业服务器保存授权和私有制品；Work 按需下载和使用。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Work 与 OS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在模型提供方设置中填写 OS 的 /v1 基址、Key 和模型 ID；按需配置部署 Skill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模型在 OS 选定设备执行；项目产物留在 Work 项目或指定交付位置。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OS 与 Enterprise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复用企业业务模块并部署独立企业后台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服务进程持有 PGlite 与制品；既有独立企业服务按原部署保留。</w:t>
            </w:r>
          </w:p>
        </w:tc>
      </w:tr>
    </w:tbl>
    <w:p>
      <w:pPr>
        <w:widowControl/>
        <w:snapToGrid w:val="0"/>
        <w:spacing w:after="20"/>
      </w:pPr>
    </w:p>
    <w:p>
      <w:pPr>
        <w:pStyle w:val="Heading2"/>
        <w:keepNext/>
        <w:widowControl/>
        <w:snapToGrid w:val="0"/>
        <w:jc w:val="left"/>
      </w:pPr>
      <w:bookmarkStart w:id="20004" w:name="formal_eco_00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使用前区分三类地址</w:t>
      </w:r>
      <w:bookmarkEnd w:id="20004"/>
    </w:p>
    <w:p>
      <w:pPr>
        <w:widowControl/>
        <w:snapToGrid w:val="0"/>
      </w:pPr>
      <w:r>
        <w:t>企业加入地址用于取得企业成员会话；模型 /v1 地址用于推理调用；内部控制地址用于设备管理。Work 连接 OS 时应从 API 页面复制真实可达地址，不能把另一台电脑的 127.0.0.1 当成服务器地址，也不能用企业加入码代替模型 API Key。</w:t>
      </w:r>
    </w:p>
    <w:p>
      <w:pPr>
        <w:widowControl/>
        <w:snapToGrid w:val="0"/>
      </w:pPr>
      <w:r>
        <w:t>部署 Skill 用于把 Work 生成的源码交给 OS 检测和发布；使用该路径时开发工具与调用 Skill 的 OS 服务需要满足本机访问条件。依据 [1] [4] [6] [7]。</w:t>
      </w:r>
    </w:p>
    <w:p>
      <w:pPr>
        <w:pStyle w:val="Heading2"/>
        <w:keepNext/>
        <w:widowControl/>
        <w:snapToGrid w:val="0"/>
        <w:jc w:val="left"/>
      </w:pPr>
      <w:bookmarkStart w:id="20005" w:name="formal_eco_00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2.2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按使用场景选择搭配方案</w:t>
      </w:r>
      <w:bookmarkEnd w:id="20005"/>
    </w:p>
    <w:p>
      <w:pPr>
        <w:pStyle w:val="Heading3"/>
        <w:keepNext/>
        <w:widowControl/>
        <w:snapToGrid w:val="0"/>
        <w:jc w:val="left"/>
      </w:pPr>
      <w:bookmarkStart w:id="20006" w:name="formal_eco_007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2.2.1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方案一 个人任务与创作</w:t>
      </w:r>
      <w:bookmarkEnd w:id="20006"/>
    </w:p>
    <w:p>
      <w:pPr>
        <w:widowControl/>
        <w:snapToGrid w:val="0"/>
      </w:pPr>
      <w:r>
        <w:t>组合以 iPolloWork 为主，可选 iPolloOS。先安装 Work 并配置模型提供方，完成第一个项目任务；需要本地推理时，在 OS 安装、启用模型并创建 API Key，把 API 基址和模型 ID 配入 Work。适合代码、资料、文档和创作任务，是否使用本地模型取决于硬件及所需工具能力。</w:t>
      </w:r>
    </w:p>
    <w:p>
      <w:pPr>
        <w:pStyle w:val="Heading3"/>
        <w:keepNext/>
        <w:widowControl/>
        <w:snapToGrid w:val="0"/>
        <w:jc w:val="left"/>
      </w:pPr>
      <w:bookmarkStart w:id="20007" w:name="formal_eco_008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2.2.2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方案二 企业模板插件与技能共享</w:t>
      </w:r>
      <w:bookmarkEnd w:id="20007"/>
    </w:p>
    <w:p>
      <w:pPr>
        <w:widowControl/>
        <w:snapToGrid w:val="0"/>
      </w:pPr>
      <w:r>
        <w:t>组合为 Work 加 Enterprise，并配置 iPollo Account 身份服务。管理员部署企业服务，建立成员和部门，上传资源、审核并分配可见范围；员工在 Work 登录账号，以企业地址和加入码加入，再按需安装或使用企业资源。该方案解决组织资源治理，不要求把本地项目文件统一上传到企业服务。</w:t>
      </w:r>
    </w:p>
    <w:p>
      <w:pPr>
        <w:pStyle w:val="Heading3"/>
        <w:keepNext/>
        <w:widowControl/>
        <w:snapToGrid w:val="0"/>
        <w:jc w:val="left"/>
      </w:pPr>
      <w:bookmarkStart w:id="20008" w:name="formal_eco_009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2.2.3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方案三 私有模型与局域网协作</w:t>
      </w:r>
      <w:bookmarkEnd w:id="20008"/>
    </w:p>
    <w:p>
      <w:pPr>
        <w:widowControl/>
        <w:snapToGrid w:val="0"/>
      </w:pPr>
      <w:r>
        <w:t>组合为 Work 加 OS；企业资源共享可由 OS 另行部署企业后台，账号身份按企业协议配置。管理员准备模型与 Key，从 API 页复制模型基址；需要企业资源时再复制企业地址与加入码。员工分别完成企业加入和模型提供方配置：前者取得资源权限，后者取得推理能力。模型设备需保持服务在线，企业后台与总控按独立服务管理。</w:t>
      </w:r>
    </w:p>
    <w:p>
      <w:pPr>
        <w:pStyle w:val="Heading3"/>
        <w:keepNext/>
        <w:pageBreakBefore/>
        <w:widowControl/>
        <w:snapToGrid w:val="0"/>
        <w:jc w:val="left"/>
      </w:pPr>
      <w:bookmarkStart w:id="20010" w:name="formal_eco_011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2.2.4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从需求到结果的典型流程</w:t>
      </w:r>
      <w:bookmarkEnd w:id="20010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1964"/>
        <w:gridCol w:w="3695"/>
        <w:gridCol w:w="3695"/>
      </w:tblGrid>
      <w:tr>
        <w:trPr>
          <w:cantSplit/>
          <w:tblHeader w:val="1"/>
        </w:trPr>
        <w:tc>
          <w:tcPr>
            <w:tcW w:type="dxa" w:w="1964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阶段</w:t>
            </w:r>
          </w:p>
        </w:tc>
        <w:tc>
          <w:tcPr>
            <w:tcW w:type="dxa" w:w="3695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主要项目</w:t>
            </w:r>
          </w:p>
        </w:tc>
        <w:tc>
          <w:tcPr>
            <w:tcW w:type="dxa" w:w="3695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结果与验收点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确定身份与权限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Enterprise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账号能登录，企业加入成功；成员仅看到获授权资源。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准备模型与工具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OS 与 Work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模型真实输出；需要工具调用的任务完成一次工具使用验证。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完成创作或开发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Work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生成可编辑项目、文档、设计、PPT 或视频，并进行用户验收。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发布或沉淀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OS 或 Enterprise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网站/API 经 OS 发布，或把成熟模板与技能投稿至企业审核。</w:t>
            </w:r>
          </w:p>
        </w:tc>
      </w:tr>
    </w:tbl>
    <w:p>
      <w:pPr>
        <w:widowControl/>
        <w:snapToGrid w:val="0"/>
        <w:spacing w:after="20"/>
      </w:pPr>
    </w:p>
    <w:p>
      <w:pPr>
        <w:widowControl/>
        <w:snapToGrid w:val="0"/>
      </w:pPr>
      <w:r>
        <w:t>上述组合是基于现有边界的部署建议。每次交付应以选定的版本和目标环境跑通实际链路，特别核对账号 issuer、企业身份、模型 ID、工具调用、资源版本和网络地址。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1" w:name="formal_eco_012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3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从部署到企业成员使用</w:t>
      </w:r>
      <w:bookmarkEnd w:id="20011"/>
    </w:p>
    <w:p>
      <w:pPr>
        <w:widowControl/>
        <w:snapToGrid w:val="0"/>
      </w:pPr>
      <w:r>
        <w:t>本章整合原《企业功能使用教程》的七个步骤。管理员负责部署、成员和资源治理；员工负责账号登录、企业加入及按授权使用资源。企业资源来源与 Work 本地项目分别管理。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60000" cy="3240000"/>
            <wp:docPr id="4" name="Picture 4" descr="OS 中的企业后台与权限总控入口。先核对顶部位置，再进入应用与集群；两类内置应用分别管理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p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02  OS 中的企业后台与权限总控入口</w:t>
      </w:r>
    </w:p>
    <w:p>
      <w:pPr>
        <w:pStyle w:val="FigureGuide"/>
        <w:widowControl/>
        <w:snapToGrid w:val="0"/>
      </w:pPr>
      <w:r>
        <w:t>先核对顶部位置，再进入应用与集群；两类内置应用分别管理。</w:t>
      </w:r>
    </w:p>
    <w:p>
      <w:pPr>
        <w:pStyle w:val="Heading2"/>
        <w:keepNext/>
        <w:widowControl/>
        <w:snapToGrid w:val="0"/>
        <w:jc w:val="left"/>
      </w:pPr>
      <w:bookmarkStart w:id="20012" w:name="formal_eco_01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1 安装并打开 iPolloOS</w:t>
      </w:r>
      <w:bookmarkEnd w:id="20012"/>
    </w:p>
    <w:p>
      <w:pPr>
        <w:widowControl/>
        <w:snapToGrid w:val="0"/>
      </w:pPr>
      <w:r>
        <w:t>在目标电脑安装 iPolloOS，打开后确认顶部位置为本机或计划管理的服务器。先检查设备与运行环境；云端部署还需具备对应的服务器管理权限。</w:t>
      </w:r>
    </w:p>
    <w:p>
      <w:pPr>
        <w:pStyle w:val="Heading2"/>
        <w:keepNext/>
        <w:widowControl/>
        <w:snapToGrid w:val="0"/>
        <w:jc w:val="left"/>
      </w:pPr>
      <w:bookmarkStart w:id="20013" w:name="formal_eco_01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2 部署企业后台</w:t>
      </w:r>
      <w:bookmarkEnd w:id="20013"/>
    </w:p>
    <w:p>
      <w:pPr>
        <w:widowControl/>
        <w:snapToGrid w:val="0"/>
      </w:pPr>
      <w:r>
        <w:t>进入左侧应用与集群，在内置应用中选择企业后台管理，点击部署与配置企业后台。核对部署位置、端口与发布地址后按页面完成部署。内置企业后台与容器集群分别准备。</w:t>
      </w:r>
    </w:p>
    <w:p>
      <w:pPr>
        <w:pStyle w:val="Heading2"/>
        <w:keepNext/>
        <w:widowControl/>
        <w:snapToGrid w:val="0"/>
        <w:jc w:val="left"/>
      </w:pPr>
      <w:bookmarkStart w:id="20014" w:name="formal_eco_015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3 取得企业地址和加入码</w:t>
      </w:r>
      <w:bookmarkEnd w:id="20014"/>
    </w:p>
    <w:p>
      <w:pPr>
        <w:widowControl/>
        <w:snapToGrid w:val="0"/>
      </w:pPr>
      <w:r>
        <w:t>服务就绪后打开企业后台页面。OS 内置后台按服务窗口和设置页显示的信息复制企业地址与加入码；独立 Enterprise 在设置中核对服务地址，在成员 → 邀请成员中取得加入码。员工电脑应能访问该域名或 IP；公网 HTTPS 由部署管理员配置。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2701758" cy="3240000"/>
            <wp:docPr id="5" name="Picture 5" descr="独立 Enterprise 的成员邀请与加入码。服务地址见设置中的部署信息；加入码见成员中的邀请窗口。此图使用本地示例企业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invit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0175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03  独立 Enterprise 的成员邀请与加入码</w:t>
      </w:r>
    </w:p>
    <w:p>
      <w:pPr>
        <w:pStyle w:val="FigureGuide"/>
        <w:widowControl/>
        <w:snapToGrid w:val="0"/>
      </w:pPr>
      <w:r>
        <w:t>服务地址见设置中的部署信息；加入码见成员中的邀请窗口。此图使用本地示例企业。</w:t>
      </w:r>
    </w:p>
    <w:p>
      <w:pPr>
        <w:pStyle w:val="Heading2"/>
        <w:keepNext/>
        <w:widowControl/>
        <w:snapToGrid w:val="0"/>
        <w:jc w:val="left"/>
      </w:pPr>
      <w:bookmarkStart w:id="20015" w:name="formal_eco_01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4 在 Work 登录账号</w:t>
      </w:r>
      <w:bookmarkEnd w:id="20015"/>
    </w:p>
    <w:p>
      <w:pPr>
        <w:widowControl/>
        <w:snapToGrid w:val="0"/>
      </w:pPr>
      <w:r>
        <w:t>打开 iPolloWork，从左下角登录入口或设置中的账号页面登录 iPollo Account。确认使用员工本人账号，再继续加入企业。</w:t>
      </w:r>
    </w:p>
    <w:p>
      <w:pPr>
        <w:pStyle w:val="Heading2"/>
        <w:keepNext/>
        <w:widowControl/>
        <w:snapToGrid w:val="0"/>
        <w:jc w:val="left"/>
      </w:pPr>
      <w:bookmarkStart w:id="20016" w:name="formal_eco_01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3.5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5 加入企业</w:t>
      </w:r>
      <w:bookmarkEnd w:id="20016"/>
    </w:p>
    <w:p>
      <w:pPr>
        <w:widowControl/>
        <w:snapToGrid w:val="0"/>
      </w:pPr>
      <w:r>
        <w:t>在账号页面找到加入企业，填写企业服务地址和加入码，完成身份验证。加入后检查企业名称和账号归属；若无法加入，先核对地址可达性、加入码有效性和账号状态。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593417" cy="3240000"/>
            <wp:docPr id="6" name="Picture 6" descr="Work 中的加入企业窗口。先完成员工账号登录，再填写管理员提供的服务器地址和企业加入码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-join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93417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04  Work 中的加入企业窗口</w:t>
      </w:r>
    </w:p>
    <w:p>
      <w:pPr>
        <w:pStyle w:val="FigureGuide"/>
        <w:widowControl/>
        <w:snapToGrid w:val="0"/>
      </w:pPr>
      <w:r>
        <w:t>先完成员工账号登录，再填写管理员提供的服务器地址和企业加入码。</w:t>
      </w:r>
    </w:p>
    <w:p>
      <w:pPr>
        <w:pStyle w:val="Heading2"/>
        <w:keepNext/>
        <w:widowControl/>
        <w:snapToGrid w:val="0"/>
        <w:jc w:val="left"/>
      </w:pPr>
      <w:bookmarkStart w:id="20017" w:name="formal_eco_01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3.6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6 选择企业资源并开始工作</w:t>
      </w:r>
      <w:bookmarkEnd w:id="20017"/>
    </w:p>
    <w:p>
      <w:pPr>
        <w:widowControl/>
        <w:snapToGrid w:val="0"/>
      </w:pPr>
      <w:r>
        <w:t>切换到已加入的企业来源，查看获授权的模板、插件与技能。按需下载并安装资源，在 Work 项目中完成网页、演示文稿、视频或其他任务。项目文件与任务仍按 Work 的项目管理方式保存。</w:t>
      </w:r>
    </w:p>
    <w:p>
      <w:pPr>
        <w:pStyle w:val="Heading2"/>
        <w:keepNext/>
        <w:widowControl/>
        <w:snapToGrid w:val="0"/>
        <w:jc w:val="left"/>
      </w:pPr>
      <w:bookmarkStart w:id="20018" w:name="formal_eco_01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3.7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步骤 7 审核投稿并分配使用范围</w:t>
      </w:r>
      <w:bookmarkEnd w:id="20018"/>
    </w:p>
    <w:p>
      <w:pPr>
        <w:widowControl/>
        <w:snapToGrid w:val="0"/>
      </w:pPr>
      <w:r>
        <w:t>管理员在企业服务页面维护成员、部门与资源权限，审核员工投稿的模板或扩展，分配给指定成员、部门或全员。员工在授权范围内使用资源，并可按投稿流程上传自己的作品；更新后再次核对资源可见性和版本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19" w:name="formal_eco_020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4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按场景完成软件协同</w:t>
      </w:r>
      <w:bookmarkEnd w:id="20019"/>
    </w:p>
    <w:p>
      <w:pPr>
        <w:pStyle w:val="Heading2"/>
        <w:keepNext/>
        <w:pageBreakBefore w:val="0"/>
        <w:widowControl/>
        <w:snapToGrid w:val="0"/>
        <w:jc w:val="left"/>
      </w:pPr>
      <w:bookmarkStart w:id="20020" w:name="formal_eco_021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让 Work 调用 OS 模型</w:t>
      </w:r>
      <w:bookmarkEnd w:id="20020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同机或可互访网络；OS 模型已真实启用。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4879058" cy="3240000"/>
            <wp:docPr id="7" name="Picture 7" descr="从 OS 准备模型入口和 Key。先取得可达地址 Key 和模型 ID，再在 Work 配置调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api-settings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79058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05  从 OS 准备模型入口和 Key</w:t>
      </w:r>
    </w:p>
    <w:p>
      <w:pPr>
        <w:pStyle w:val="FigureGuide"/>
        <w:widowControl/>
        <w:snapToGrid w:val="0"/>
      </w:pPr>
      <w:r>
        <w:t>先取得可达地址 Key 和模型 ID，再在 Work 配置调用。</w:t>
      </w:r>
    </w:p>
    <w:p>
      <w:pPr>
        <w:widowControl/>
        <w:snapToGrid w:val="0"/>
        <w:spacing w:after="140"/>
        <w:ind w:left="312" w:hanging="312"/>
      </w:pPr>
      <w:r>
        <w:t>1. OS 打开 API 页，复制 /v1 基址并创建 Key；取得模型列表中的准确 ID。</w:t>
      </w:r>
    </w:p>
    <w:p>
      <w:pPr>
        <w:widowControl/>
        <w:snapToGrid w:val="0"/>
        <w:spacing w:after="140"/>
        <w:ind w:left="312" w:hanging="312"/>
      </w:pPr>
      <w:r>
        <w:t>2. Work 的 AI 提供商配置兼容服务；OpenCode 自定义提供方可用 baseURL、模型 ID 与安全保存的 Key。</w:t>
      </w:r>
    </w:p>
    <w:p>
      <w:pPr>
        <w:widowControl/>
        <w:snapToGrid w:val="0"/>
        <w:spacing w:after="140"/>
        <w:ind w:left="312" w:hanging="312"/>
      </w:pPr>
      <w:r>
        <w:t>3. 在新任务选择该模型，先测聊天，再测一次文件或工具任务，最后检查 OS 用量。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Work 有实际结果，OS 出现对应请求；连接测试和工具能力均通过。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1" w:name="formal_eco_022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4.2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团队共享模板与插件</w:t>
      </w:r>
      <w:bookmarkEnd w:id="20021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Enterprise 可独立部署，或由 OS 部署；账号身份已配置。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024000" cy="3240000"/>
            <wp:docPr id="8" name="Picture 8" descr="从企业后台准备共享资源。先审核并授权，再由成员在 Work 获取使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terprise-upload-templat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024000" cy="3240000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06  从企业后台准备共享资源</w:t>
      </w:r>
    </w:p>
    <w:p>
      <w:pPr>
        <w:pStyle w:val="FigureGuide"/>
        <w:widowControl/>
        <w:snapToGrid w:val="0"/>
      </w:pPr>
      <w:r>
        <w:t>先审核并授权，再由成员在 Work 获取使用。</w:t>
      </w:r>
    </w:p>
    <w:p>
      <w:pPr>
        <w:widowControl/>
        <w:snapToGrid w:val="0"/>
        <w:spacing w:after="140"/>
        <w:ind w:left="312" w:hanging="312"/>
      </w:pPr>
      <w:r>
        <w:t>1. 管理员在企业后台建立成员与部门，上传并审核一份模板或插件，授予目标部门。</w:t>
      </w:r>
    </w:p>
    <w:p>
      <w:pPr>
        <w:widowControl/>
        <w:snapToGrid w:val="0"/>
        <w:spacing w:after="140"/>
        <w:ind w:left="312" w:hanging="312"/>
      </w:pPr>
      <w:r>
        <w:t>2. 员工在 Work 登录账号，输入企业地址和加入码，切到企业来源使用资源。</w:t>
      </w:r>
    </w:p>
    <w:p>
      <w:pPr>
        <w:widowControl/>
        <w:snapToGrid w:val="0"/>
        <w:spacing w:after="140"/>
        <w:ind w:left="312" w:hanging="312"/>
      </w:pPr>
      <w:r>
        <w:t>3. 用另一名未授权成员检查不可见，再发布新版本验证更新和下架。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成员可使用授权资源且无法越权获取；模型服务是否接入单独检查。</w:t>
      </w:r>
    </w:p>
    <w:p>
      <w:pPr>
        <w:pStyle w:val="Heading2"/>
        <w:keepNext/>
        <w:pageBreakBefore/>
        <w:widowControl/>
        <w:snapToGrid w:val="0"/>
        <w:jc w:val="left"/>
      </w:pPr>
      <w:bookmarkStart w:id="20022" w:name="formal_eco_023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4.3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在 Work 开发并经 OS 发布网站</w:t>
      </w:r>
      <w:bookmarkEnd w:id="20022"/>
    </w:p>
    <w:p>
      <w:pPr>
        <w:keepNext/>
        <w:widowControl/>
        <w:snapToGrid w:val="0"/>
        <w:spacing w:after="180"/>
      </w:pPr>
      <w:r>
        <w:rPr>
          <w:b w:val="0"/>
          <w:rFonts w:ascii="Segoe UI" w:hAnsi="Segoe UI" w:eastAsia="Microsoft YaHei" w:cs="Segoe UI"/>
          <w:sz w:val="19"/>
          <w:szCs w:val="19"/>
          <w:bCs w:val="0"/>
          <w:color w:val="5A6774"/>
          <w:i w:val="0"/>
          <w:iCs w:val="0"/>
        </w:rPr>
        <w:t>入口与准备：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两者在同一开发电脑；已有就绪云空间。</w:t>
      </w:r>
    </w:p>
    <w:p>
      <w:pPr>
        <w:keepNext/>
        <w:widowControl/>
        <w:snapToGrid w:val="0"/>
        <w:spacing w:before="8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40000" cy="2593369"/>
            <wp:docPr id="9" name="Picture 9" descr="把 Work 生成的源码交给 OS 检验。先完成本地文件检查，再部署到已准备的空间和应用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s-source-form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593369"/>
                    </a:xfrm>
                    <a:prstGeom prst="rect"/>
                    <a:ln w="9525">
                      <a:solidFill>
                        <a:srgbClr val="E7E7E8"/>
                      </a:solidFill>
                    </a:ln>
                  </pic:spPr>
                </pic:pic>
              </a:graphicData>
            </a:graphic>
          </wp:inline>
        </w:drawing>
      </w:r>
    </w:p>
    <w:p>
      <w:pPr>
        <w:pStyle w:val="iPolloCaption"/>
        <w:keepNext/>
        <w:widowControl/>
        <w:snapToGrid w:val="0"/>
        <w:jc w:val="center"/>
      </w:pPr>
      <w:r>
        <w:rPr>
          <w:rFonts w:ascii="Segoe UI" w:hAnsi="Segoe UI" w:eastAsia="Microsoft YaHei" w:cs="Segoe UI"/>
          <w:sz w:val="18"/>
          <w:szCs w:val="18"/>
          <w:b w:val="0"/>
          <w:bCs w:val="0"/>
          <w:color w:val="5A6774"/>
          <w:i w:val="0"/>
          <w:iCs w:val="0"/>
        </w:rPr>
        <w:t>图 07  把 Work 生成的源码交给 OS 检验</w:t>
      </w:r>
    </w:p>
    <w:p>
      <w:pPr>
        <w:pStyle w:val="FigureGuide"/>
        <w:widowControl/>
        <w:snapToGrid w:val="0"/>
      </w:pPr>
      <w:r>
        <w:t>先完成本地文件检查，再部署到已准备的空间和应用。</w:t>
      </w:r>
    </w:p>
    <w:p>
      <w:pPr>
        <w:widowControl/>
        <w:snapToGrid w:val="0"/>
        <w:spacing w:after="140"/>
        <w:ind w:left="312" w:hanging="312"/>
      </w:pPr>
      <w:r>
        <w:t>1. 把 OS 提供的 ipolloos-deploy Skill 安装到所用引擎识别的 Skills 位置，保持 OS 运行。</w:t>
      </w:r>
    </w:p>
    <w:p>
      <w:pPr>
        <w:widowControl/>
        <w:snapToGrid w:val="0"/>
        <w:spacing w:after="140"/>
        <w:ind w:left="312" w:hanging="312"/>
      </w:pPr>
      <w:r>
        <w:t>2. 在 Work 创建网站并检查本地效果，明确“使用 OS 部署到指定空间和应用”；Skill 先查询空间并检测源码。</w:t>
      </w:r>
    </w:p>
    <w:p>
      <w:pPr>
        <w:widowControl/>
        <w:snapToGrid w:val="0"/>
        <w:spacing w:after="140"/>
        <w:ind w:left="312" w:hanging="312"/>
      </w:pPr>
      <w:r>
        <w:t>3. 首次发布使用 deploy，后续修改使用 update；任务成功后检查应用状态、预览和实际公开地址。</w:t>
      </w:r>
    </w:p>
    <w:p>
      <w:pPr>
        <w:widowControl/>
        <w:snapToGrid w:val="0"/>
        <w:spacing w:before="60" w:after="280"/>
      </w:pPr>
      <w:r>
        <w:rPr>
          <w:b w:val="1"/>
          <w:rFonts w:ascii="Segoe UI" w:hAnsi="Segoe UI" w:eastAsia="Microsoft YaHei" w:cs="Segoe UI"/>
          <w:sz w:val="19"/>
          <w:szCs w:val="19"/>
          <w:bCs w:val="1"/>
          <w:color w:val="177D83"/>
          <w:i w:val="0"/>
          <w:iCs w:val="0"/>
        </w:rPr>
        <w:t>完成标志：</w:t>
      </w:r>
      <w:r>
        <w:rPr>
          <w:rFonts w:ascii="Segoe UI" w:hAnsi="Segoe UI" w:eastAsia="Microsoft YaHei" w:cs="Segoe UI"/>
          <w:sz w:val="19"/>
          <w:szCs w:val="19"/>
          <w:b w:val="0"/>
          <w:bCs w:val="0"/>
          <w:color w:val="5A6774"/>
          <w:i w:val="0"/>
          <w:iCs w:val="0"/>
        </w:rPr>
        <w:t>指定应用运行本次代码。Skill 不购买服务器，不把本机预览地址作为公网地址。</w:t>
      </w:r>
    </w:p>
    <w:p>
      <w:pPr>
        <w:widowControl/>
        <w:snapToGrid w:val="0"/>
      </w:pPr>
      <w:r>
        <w:t>操作依据见 [1] [2] [3] 至 [8] 及使用入口资料 [11]。本章不替代各项目完整部署手册，实际功能可用范围以当前版本、权限和目标环境为准。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24" w:name="formal_eco_025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5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授权与部署验收</w:t>
      </w:r>
      <w:bookmarkEnd w:id="20024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1964"/>
        <w:gridCol w:w="2463"/>
        <w:gridCol w:w="2463"/>
        <w:gridCol w:w="2463"/>
      </w:tblGrid>
      <w:tr>
        <w:trPr>
          <w:cantSplit/>
          <w:tblHeader w:val="1"/>
        </w:trPr>
        <w:tc>
          <w:tcPr>
            <w:tcW w:type="dxa" w:w="1964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项目</w:t>
            </w:r>
          </w:p>
        </w:tc>
        <w:tc>
          <w:tcPr>
            <w:tcW w:type="dxa" w:w="246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仓库可见性</w:t>
            </w:r>
          </w:p>
        </w:tc>
        <w:tc>
          <w:tcPr>
            <w:tcW w:type="dxa" w:w="246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当前许可或管理方式</w:t>
            </w:r>
          </w:p>
        </w:tc>
        <w:tc>
          <w:tcPr>
            <w:tcW w:type="dxa" w:w="2463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是否属于通常意义的开源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iPolloWork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公开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iPolloWork Source Available License 1.0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源码可用；README 明确说明不是 OSI 认可的开源许可。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 Enterprise Server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私有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独立商业项目，使用和交付权限按项目授权文件或双方协议确定。</w:t>
            </w:r>
          </w:p>
        </w:tc>
        <w:tc>
          <w:tcPr>
            <w:tcW w:type="dxa" w:w="2463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否。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iPolloOS</w:t>
            </w:r>
          </w:p>
        </w:tc>
        <w:tc>
          <w:tcPr>
            <w:tcW w:type="dxa" w:w="246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私有</w:t>
            </w:r>
          </w:p>
        </w:tc>
        <w:tc>
          <w:tcPr>
            <w:tcW w:type="dxa" w:w="246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iPolloOS Source Available License 1.0；源码访问需仓库权限。</w:t>
            </w:r>
          </w:p>
        </w:tc>
        <w:tc>
          <w:tcPr>
            <w:tcW w:type="dxa" w:w="2463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源码可用的授权模式；具有用途与规模限制，不按自由开源项目描述。</w:t>
            </w:r>
          </w:p>
        </w:tc>
      </w:tr>
    </w:tbl>
    <w:p>
      <w:pPr>
        <w:widowControl/>
        <w:snapToGrid w:val="0"/>
        <w:spacing w:after="20"/>
      </w:pPr>
    </w:p>
    <w:p>
      <w:pPr>
        <w:pStyle w:val="Heading2"/>
        <w:keepNext/>
        <w:widowControl/>
        <w:snapToGrid w:val="0"/>
        <w:jc w:val="left"/>
      </w:pPr>
      <w:bookmarkStart w:id="20025" w:name="formal_eco_026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5.1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Work 与 OS 的主要授权条件</w:t>
      </w:r>
      <w:bookmarkEnd w:id="20025"/>
    </w:p>
    <w:p>
      <w:pPr>
        <w:widowControl/>
        <w:snapToGrid w:val="0"/>
      </w:pPr>
      <w:r>
        <w:t>当前 LICENSE 第 2 条允许个人非商业用途，以及总用户少于 3 人的内部非商业评估、测试或运行。少于 3 人即最多 2 名用户；计算范围包括访问、运维、部署或受益于共享使用的人员，不能只按同时在线账号数量理解。</w:t>
      </w:r>
    </w:p>
    <w:p>
      <w:pPr>
        <w:widowControl/>
        <w:snapToGrid w:val="0"/>
      </w:pPr>
      <w:r>
        <w:t>以下用途按第 3 条要求事先书面授权：总用户达到 3 人及以上；向外部第三方提供托管或其他服务；销售、转售、收费交付、付费实施或咨询；将软件用于营收、白标、代理、市场或面向客户的业务场景；替换或隐藏要求保留的产品品牌。商业使用条件不因参与人数少而自动豁免。</w:t>
      </w:r>
    </w:p>
    <w:p>
      <w:pPr>
        <w:widowControl/>
        <w:snapToGrid w:val="0"/>
      </w:pPr>
      <w:r>
        <w:t>品牌归属、版权和许可证通知需要按条款保留。非商业再分发须遵守相应条件。第三方代码和历史上已按 MIT 许可发布的版本或部分保留其既有权利，不能据此将全部当前代码统一标为 MIT。</w:t>
      </w:r>
    </w:p>
    <w:p>
      <w:pPr>
        <w:pStyle w:val="Heading2"/>
        <w:keepNext/>
        <w:widowControl/>
        <w:snapToGrid w:val="0"/>
        <w:jc w:val="left"/>
      </w:pPr>
      <w:bookmarkStart w:id="20026" w:name="formal_eco_027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5.2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 xml:space="preserve"> Enterprise 的商业边界</w:t>
      </w:r>
      <w:bookmarkEnd w:id="20026"/>
    </w:p>
    <w:p>
      <w:pPr>
        <w:widowControl/>
        <w:snapToGrid w:val="0"/>
      </w:pPr>
      <w:r>
        <w:t>Enterprise 按私有商业项目管理；产品私有部署能力与客户取得何种源码或再分发权利，需要在交付授权中分别约定。</w:t>
      </w:r>
    </w:p>
    <w:p>
      <w:pPr>
        <w:pStyle w:val="Heading2"/>
        <w:keepNext/>
        <w:widowControl/>
        <w:snapToGrid w:val="0"/>
        <w:jc w:val="left"/>
      </w:pPr>
      <w:bookmarkStart w:id="20027" w:name="formal_eco_028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5.3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许可信息的统一口径</w:t>
      </w:r>
      <w:bookmarkEnd w:id="20027"/>
    </w:p>
    <w:p>
      <w:pPr>
        <w:widowControl/>
        <w:snapToGrid w:val="0"/>
      </w:pPr>
      <w:r>
        <w:t>对外介绍应优先使用当前许可证名称，并分别核对目标版本、模型权重、第三方依赖和 Enterprise 子模块的条款。</w:t>
      </w:r>
    </w:p>
    <w:p>
      <w:pPr>
        <w:widowControl/>
        <w:snapToGrid w:val="0"/>
      </w:pPr>
      <w:r>
        <w:t>依据 [9] [10]。本章为项目许可条款摘要；完整权利与例外以对应版本 LICENSE 及另行签署的授权文件为准。仓库可见性核查日期为 2026年10月29日。</w:t>
      </w:r>
    </w:p>
    <w:p>
      <w:pPr>
        <w:pStyle w:val="Heading2"/>
        <w:keepNext/>
        <w:widowControl/>
        <w:snapToGrid w:val="0"/>
        <w:jc w:val="left"/>
      </w:pPr>
      <w:bookmarkStart w:id="20028" w:name="formal_eco_029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5.4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部署选择与交付验收</w:t>
      </w:r>
      <w:bookmarkEnd w:id="20028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1964"/>
        <w:gridCol w:w="3695"/>
        <w:gridCol w:w="3695"/>
      </w:tblGrid>
      <w:tr>
        <w:trPr>
          <w:cantSplit/>
          <w:tblHeader w:val="1"/>
        </w:trPr>
        <w:tc>
          <w:tcPr>
            <w:tcW w:type="dxa" w:w="1964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部署目标</w:t>
            </w:r>
          </w:p>
        </w:tc>
        <w:tc>
          <w:tcPr>
            <w:tcW w:type="dxa" w:w="3695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建议起点</w:t>
            </w:r>
          </w:p>
        </w:tc>
        <w:tc>
          <w:tcPr>
            <w:tcW w:type="dxa" w:w="3695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上线前必须落实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个人生产与办公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Work；按需加 OS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模型配置、目标文件格式、插件权限与产物备份。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部门资源中心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独立 Enterprise 加 Work</w:t>
            </w:r>
          </w:p>
        </w:tc>
        <w:tc>
          <w:tcPr>
            <w:tcW w:type="dxa" w:w="3695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企业域名和 HTTPS、账号身份、成员权限、数据库及制品持久化。</w:t>
            </w:r>
          </w:p>
        </w:tc>
      </w:tr>
      <w:tr>
        <w:trPr>
          <w:cantSplit/>
        </w:trPr>
        <w:tc>
          <w:tcPr>
            <w:tcW w:type="dxa" w:w="1964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局域网模型节点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OS 加 Work</w:t>
            </w:r>
          </w:p>
        </w:tc>
        <w:tc>
          <w:tcPr>
            <w:tcW w:type="dxa" w:w="3695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可达 API、成员 Key、设备在线策略、硬件与模型验收。</w:t>
            </w:r>
          </w:p>
        </w:tc>
      </w:tr>
    </w:tbl>
    <w:p>
      <w:pPr>
        <w:widowControl/>
        <w:snapToGrid w:val="0"/>
        <w:spacing w:after="20"/>
      </w:pPr>
    </w:p>
    <w:p>
      <w:pPr>
        <w:pStyle w:val="Heading3"/>
        <w:keepNext/>
        <w:widowControl/>
        <w:snapToGrid w:val="0"/>
        <w:jc w:val="left"/>
      </w:pPr>
      <w:bookmarkStart w:id="20029" w:name="formal_eco_030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5.4.1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建议实施顺序</w:t>
      </w:r>
      <w:bookmarkEnd w:id="20029"/>
    </w:p>
    <w:p>
      <w:pPr>
        <w:widowControl/>
        <w:snapToGrid w:val="0"/>
      </w:pPr>
      <w:r>
        <w:t>第一步，确定人数、商业用途、服务对象和模型来源，落实所需授权。第二步，选定一个小范围试点任务，例如让 Work 调用 OS 模型完成文档，再从 Enterprise 使用一份模板。第三步，部署账号和企业管理、配置可达地址并准备资源。第四步，完成真实调用与交付验收后，再扩展成员、模型和服务器规模。</w:t>
      </w:r>
    </w:p>
    <w:p>
      <w:pPr>
        <w:pStyle w:val="Heading3"/>
        <w:keepNext/>
        <w:pageBreakBefore/>
        <w:widowControl/>
        <w:snapToGrid w:val="0"/>
        <w:jc w:val="left"/>
      </w:pPr>
      <w:bookmarkStart w:id="20030" w:name="formal_eco_031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5.4.2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交付验收清单</w:t>
      </w:r>
      <w:bookmarkEnd w:id="20030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2058"/>
        <w:gridCol w:w="7297"/>
      </w:tblGrid>
      <w:tr>
        <w:trPr>
          <w:cantSplit/>
          <w:tblHeader w:val="1"/>
        </w:trPr>
        <w:tc>
          <w:tcPr>
            <w:tcW w:type="dxa" w:w="2058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检查项</w:t>
            </w:r>
          </w:p>
        </w:tc>
        <w:tc>
          <w:tcPr>
            <w:tcW w:type="dxa" w:w="7297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通过标准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版本与依赖</w:t>
            </w:r>
          </w:p>
        </w:tc>
        <w:tc>
          <w:tcPr>
            <w:tcW w:type="dxa" w:w="729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记录所用项目及插件的版本，OS 锁定所用 Enterprise 子模块。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账号与企业会话</w:t>
            </w:r>
          </w:p>
        </w:tc>
        <w:tc>
          <w:tcPr>
            <w:tcW w:type="dxa" w:w="729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真实账号登录和企业加入成功；离职或停用后拒绝新访问。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资源权限与版本</w:t>
            </w:r>
          </w:p>
        </w:tc>
        <w:tc>
          <w:tcPr>
            <w:tcW w:type="dxa" w:w="729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普通成员只能查询和下载授权内容；审核、更新和下架结果可验证。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模型与真实任务</w:t>
            </w:r>
          </w:p>
        </w:tc>
        <w:tc>
          <w:tcPr>
            <w:tcW w:type="dxa" w:w="729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实际硬件完成聊天、流式输出及所需工具调用；媒体任务验收实际结果。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网络与服务状态</w:t>
            </w:r>
          </w:p>
        </w:tc>
        <w:tc>
          <w:tcPr>
            <w:tcW w:type="dxa" w:w="729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从员工电脑验证企业、API 与 Worker 入口；健康检查和外部可达分别通过。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部署与回退</w:t>
            </w:r>
          </w:p>
        </w:tc>
        <w:tc>
          <w:tcPr>
            <w:tcW w:type="dxa" w:w="729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目标应用能访问；代码回退可用；数据库、制品和用户文件另有备份恢复。</w:t>
            </w:r>
          </w:p>
        </w:tc>
      </w:tr>
      <w:tr>
        <w:trPr>
          <w:cantSplit/>
        </w:trPr>
        <w:tc>
          <w:tcPr>
            <w:tcW w:type="dxa" w:w="2058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运维与权限</w:t>
            </w:r>
          </w:p>
        </w:tc>
        <w:tc>
          <w:tcPr>
            <w:tcW w:type="dxa" w:w="729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明确管理员、密钥轮换、节点在线策略、监控告警和资料恢复责任。</w:t>
            </w:r>
          </w:p>
        </w:tc>
      </w:tr>
    </w:tbl>
    <w:p>
      <w:pPr>
        <w:widowControl/>
        <w:snapToGrid w:val="0"/>
        <w:spacing w:after="20"/>
      </w:pPr>
    </w:p>
    <w:p>
      <w:pPr>
        <w:pStyle w:val="Heading3"/>
        <w:keepNext/>
        <w:widowControl/>
        <w:snapToGrid w:val="0"/>
        <w:jc w:val="left"/>
      </w:pPr>
      <w:bookmarkStart w:id="20031" w:name="formal_eco_032"/>
      <w:r>
        <w:rPr>
          <w:rFonts w:ascii="Segoe UI" w:hAnsi="Segoe UI" w:eastAsia="Microsoft YaHei" w:cs="Segoe UI"/>
          <w:sz w:val="23"/>
          <w:szCs w:val="23"/>
          <w:b w:val="1"/>
          <w:bCs w:val="1"/>
          <w:color w:val="177D83"/>
          <w:i w:val="0"/>
          <w:iCs w:val="0"/>
        </w:rPr>
        <w:t xml:space="preserve">5.4.3  </w:t>
      </w:r>
      <w:r>
        <w:rPr>
          <w:rFonts w:ascii="Segoe UI" w:hAnsi="Segoe UI" w:eastAsia="Microsoft YaHei" w:cs="Segoe UI"/>
          <w:sz w:val="23"/>
          <w:szCs w:val="23"/>
          <w:b w:val="1"/>
          <w:bCs w:val="1"/>
          <w:color w:val="000000"/>
          <w:i w:val="0"/>
          <w:iCs w:val="0"/>
        </w:rPr>
        <w:t>独立部署的持续管理</w:t>
      </w:r>
      <w:bookmarkEnd w:id="20031"/>
    </w:p>
    <w:p>
      <w:pPr>
        <w:widowControl/>
        <w:snapToGrid w:val="0"/>
      </w:pPr>
      <w:r>
        <w:t>Enterprise 维护企业治理数据；OS 的模型运行、企业后台和总控独立管理。备份应覆盖数据库、制品、总控配置与必要密钥，恢复后核对企业身份、资源摘要和授权状态。增配 GPU、引入新模型或跨机部署后，应重新验证对应硬件能力。</w:t>
      </w:r>
    </w:p>
    <w:p>
      <w:pPr>
        <w:pStyle w:val="Heading1"/>
        <w:keepNext/>
        <w:pageBreakBefore w:val="1"/>
        <w:widowControl/>
        <w:snapToGrid w:val="0"/>
        <w:jc w:val="center"/>
      </w:pPr>
      <w:bookmarkStart w:id="20032" w:name="formal_eco_033"/>
      <w:r>
        <w:rPr>
          <w:rFonts w:ascii="Segoe UI" w:hAnsi="Segoe UI" w:eastAsia="Microsoft YaHei" w:cs="Segoe UI"/>
          <w:sz w:val="36"/>
          <w:szCs w:val="36"/>
          <w:b w:val="1"/>
          <w:bCs w:val="1"/>
          <w:color w:val="177D83"/>
          <w:i w:val="0"/>
          <w:iCs w:val="0"/>
        </w:rPr>
        <w:t xml:space="preserve">第 6 章  </w:t>
      </w:r>
      <w:r>
        <w:rPr>
          <w:rFonts w:ascii="Segoe UI" w:hAnsi="Segoe UI" w:eastAsia="Microsoft YaHei" w:cs="Segoe UI"/>
          <w:sz w:val="36"/>
          <w:szCs w:val="36"/>
          <w:b w:val="1"/>
          <w:bCs w:val="1"/>
          <w:color w:val="000000"/>
          <w:i w:val="0"/>
          <w:iCs w:val="0"/>
        </w:rPr>
        <w:t>文档导航与资料依据</w:t>
      </w:r>
      <w:bookmarkEnd w:id="20032"/>
    </w:p>
    <w:tbl>
      <w:tblPr>
        <w:tblW w:type="dxa" w:w="9411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Layout w:type="fixed"/>
        <w:tblLook w:firstColumn="1" w:firstRow="1" w:lastColumn="0" w:lastRow="0" w:noHBand="0" w:noVBand="1" w:val="04A0"/>
      </w:tblPr>
      <w:tblGrid>
        <w:gridCol w:w="3087"/>
        <w:gridCol w:w="6267"/>
      </w:tblGrid>
      <w:tr>
        <w:trPr>
          <w:cantSplit/>
          <w:tblHeader w:val="1"/>
        </w:trPr>
        <w:tc>
          <w:tcPr>
            <w:tcW w:type="dxa" w:w="3087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读者任务</w:t>
            </w:r>
          </w:p>
        </w:tc>
        <w:tc>
          <w:tcPr>
            <w:tcW w:type="dxa" w:w="6267"/>
            <w:vAlign w:val="center"/>
            <w:shd w:val="clear" w:fill="E7F6F6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000000"/>
                <w:b w:val="1"/>
                <w:bCs w:val="1"/>
                <w:i w:val="0"/>
                <w:iCs w:val="0"/>
              </w:rPr>
              <w:t>优先阅读</w:t>
            </w:r>
          </w:p>
        </w:tc>
      </w:tr>
      <w:tr>
        <w:trPr>
          <w:cantSplit/>
        </w:trPr>
        <w:tc>
          <w:tcPr>
            <w:tcW w:type="dxa" w:w="308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理解产品与协同关系</w:t>
            </w:r>
          </w:p>
        </w:tc>
        <w:tc>
          <w:tcPr>
            <w:tcW w:type="dxa" w:w="626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本册第一至四章</w:t>
            </w:r>
          </w:p>
        </w:tc>
      </w:tr>
      <w:tr>
        <w:trPr>
          <w:cantSplit/>
        </w:trPr>
        <w:tc>
          <w:tcPr>
            <w:tcW w:type="dxa" w:w="308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学习日常 AI 与创作</w:t>
            </w:r>
          </w:p>
        </w:tc>
        <w:tc>
          <w:tcPr>
            <w:tcW w:type="dxa" w:w="626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02 iPolloWork 功能使用手册</w:t>
            </w:r>
          </w:p>
        </w:tc>
      </w:tr>
      <w:tr>
        <w:trPr>
          <w:cantSplit/>
        </w:trPr>
        <w:tc>
          <w:tcPr>
            <w:tcW w:type="dxa" w:w="308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管理企业成员和资源</w:t>
            </w:r>
          </w:p>
        </w:tc>
        <w:tc>
          <w:tcPr>
            <w:tcW w:type="dxa" w:w="626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04 Enterprise 企业功能使用手册</w:t>
            </w:r>
          </w:p>
        </w:tc>
      </w:tr>
      <w:tr>
        <w:trPr>
          <w:cantSplit/>
        </w:trPr>
        <w:tc>
          <w:tcPr>
            <w:tcW w:type="dxa" w:w="308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管理模型与应用部署</w:t>
            </w:r>
          </w:p>
        </w:tc>
        <w:tc>
          <w:tcPr>
            <w:tcW w:type="dxa" w:w="6267"/>
            <w:vAlign w:val="center"/>
            <w:shd w:val="clear" w:fill="FFFFFF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05 iPolloOS 功能使用手册</w:t>
            </w:r>
          </w:p>
        </w:tc>
      </w:tr>
      <w:tr>
        <w:trPr>
          <w:cantSplit/>
        </w:trPr>
        <w:tc>
          <w:tcPr>
            <w:tcW w:type="dxa" w:w="308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  <w:jc w:val="center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评估技术与扩展接口</w:t>
            </w:r>
          </w:p>
        </w:tc>
        <w:tc>
          <w:tcPr>
            <w:tcW w:type="dxa" w:w="6267"/>
            <w:vAlign w:val="center"/>
            <w:shd w:val="clear" w:fill="F8FAFB"/>
            <w:tcMar>
              <w:top w:w="120" w:type="dxa"/>
              <w:bottom w:w="120" w:type="dxa"/>
              <w:left w:w="110" w:type="dxa"/>
              <w:right w:w="110" w:type="dxa"/>
            </w:tcMar>
          </w:tcPr>
          <w:p>
            <w:pPr>
              <w:spacing w:after="40" w:before="20" w:line="300" w:lineRule="exact"/>
            </w:pPr>
            <w:r>
              <w:rPr>
                <w:rFonts w:ascii="Segoe UI" w:hAnsi="Segoe UI" w:eastAsia="Microsoft YaHei" w:cs="Segoe UI"/>
                <w:sz w:val="19"/>
                <w:szCs w:val="19"/>
                <w:color w:val="161E24"/>
                <w:b w:val="0"/>
                <w:bCs w:val="0"/>
                <w:i w:val="0"/>
                <w:iCs w:val="0"/>
              </w:rPr>
              <w:t>06 iPolloWork 对外技术文档</w:t>
            </w:r>
          </w:p>
        </w:tc>
      </w:tr>
    </w:tbl>
    <w:p>
      <w:pPr>
        <w:widowControl/>
        <w:snapToGrid w:val="0"/>
        <w:spacing w:after="100" w:line="320" w:lineRule="exact"/>
      </w:pP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原企业教程已并入本册第三章。员工操作见 Enterprise 手册第 1.4 节“员工从 Work 加入企业”；部署操作见 OS 手册第 4.1 节“部署与使用企业后台”，可按目录查找。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资料基准为 2026年10月29日的本地项目工作区，仓库可见性经 GitHub 元数据核查。以下编号对应正文引用；相对路径以所列项目仓库根目录为起点。功能状态以当前实现及明确记录的验收范围为准。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[1] iPolloWork 产品定位与架构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iPolloWork：README.md；AGENTS.md。涵盖产品分工、多引擎、可编辑产物。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[2] Work 客户端与模板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docs/client-interactions.zh-CN.md；packages/docs/zh/start-here/do-work-with-it/build-a-template.mdx。涵盖项目、任务、模板和资源包。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[3] Enterprise 当前产品范围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iPolloEnterprise：README.md。涵盖成员、资源、快照协作、OS 集成与独立部署。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[4] Enterprise 接口与架构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docs/ARCHITECTURE.md；docs/RESOURCE_API.md；lib/os-management.ts。当前成员认证和后台行为以实际代码及 README 更新为准。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[5] OS 产品范围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iPolloOS：README.md。涵盖设备、模型、统一 API、应用部署及已记录的验证边界。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[6] OS 企业管理与权限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docs/os-permissions.md；docs/enterprise-management.md。成员授权及迁移机制可参考，当前服务生命周期和入口以 [11] 为准。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[7] OS 最新接口与设备专题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docs/api-and-runtime.md；docs/device-clusters.md；apps/service/src/enterprise-endpoint.ts。涵盖对外 /v1、路由、CPU 双机和 GPU 开发版边界。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[8] Work 媒体与存储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packages/docs/zh/start-here/do-work-with-it/media-center.mdx；storage-center.mdx。涵盖服务动作、提供方与存储职责。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[9] 当前许可证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Work、OS 仓库根目录 LICENSE；Work README 许可章节；Enterprise README 项目边界。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[10] 仓库可见性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GitHub 仓库元数据：Work 为 PUBLIC；Enterprise、OS 为 PRIVATE。可见性与许可权利分别判断。</w:t>
      </w:r>
    </w:p>
    <w:p>
      <w:pPr>
        <w:keepNext/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[11] 当前使用入口与独立服务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OS docs/applications-and-clusters.md，apps/service/src/model-endpoint.ts、enterprise-service.ts；Work docs/client-interactions.zh-CN.md。</w:t>
      </w:r>
    </w:p>
    <w:p>
      <w:pPr>
        <w:pStyle w:val="Heading2"/>
        <w:keepNext/>
        <w:widowControl/>
        <w:snapToGrid w:val="0"/>
        <w:jc w:val="left"/>
      </w:pPr>
      <w:bookmarkStart w:id="20033" w:name="formal_eco_034"/>
      <w:r>
        <w:rPr>
          <w:rFonts w:ascii="Segoe UI" w:hAnsi="Segoe UI" w:eastAsia="Microsoft YaHei" w:cs="Segoe UI"/>
          <w:sz w:val="27"/>
          <w:szCs w:val="27"/>
          <w:b w:val="1"/>
          <w:bCs w:val="1"/>
          <w:color w:val="177D83"/>
          <w:i w:val="0"/>
          <w:iCs w:val="0"/>
        </w:rPr>
        <w:t xml:space="preserve">6.1  </w:t>
      </w:r>
      <w:r>
        <w:rPr>
          <w:rFonts w:ascii="Segoe UI" w:hAnsi="Segoe UI" w:eastAsia="Microsoft YaHei" w:cs="Segoe UI"/>
          <w:sz w:val="27"/>
          <w:szCs w:val="27"/>
          <w:b w:val="1"/>
          <w:bCs w:val="1"/>
          <w:color w:val="000000"/>
          <w:i w:val="0"/>
          <w:iCs w:val="0"/>
        </w:rPr>
        <w:t>项目仓库入口</w:t>
      </w:r>
      <w:bookmarkEnd w:id="20033"/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iPolloWork  github.com/Devin-AXIS/iPolloWork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iPolloEnterprise  github.com/Devin-AXIS/iPolloEnterprise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iPolloOS  github.com/Devin-AXIS/iPolloOS</w:t>
      </w:r>
    </w:p>
    <w:p>
      <w:pPr>
        <w:widowControl/>
        <w:snapToGrid w:val="0"/>
        <w:spacing w:line="320" w:lineRule="exact" w:after="100"/>
      </w:pPr>
      <w:r>
        <w:rPr>
          <w:rFonts w:ascii="Segoe UI" w:hAnsi="Segoe UI" w:eastAsia="Microsoft YaHei" w:cs="Segoe UI"/>
          <w:sz w:val="21"/>
          <w:szCs w:val="21"/>
          <w:i w:val="0"/>
          <w:iCs w:val="0"/>
        </w:rPr>
        <w:t>私有仓库链接仅对已获相应访问权限的账号可用。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7" w:right="1134" w:bottom="1134" w:left="1417" w:header="851" w:footer="567" w:gutter="0"/>
      <w:cols w:space="72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4677" w:val="center"/>
      </w:tabs>
    </w:pPr>
    <w:r>
      <w:rPr>
        <w:rFonts w:ascii="Segoe UI" w:hAnsi="Segoe UI" w:eastAsia="Microsoft YaHei" w:cs="Segoe UI"/>
        <w:sz w:val="16"/>
        <w:szCs w:val="16"/>
        <w:b w:val="0"/>
        <w:bCs w:val="0"/>
        <w:color w:val="5A6774"/>
        <w:i w:val="0"/>
        <w:iCs w:val="0"/>
      </w:rPr>
      <w:t>IP-ECO</w:t>
      <w:tab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begin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instrText xml:space="preserve"> PAGE </w:instrTex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separate"/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t>1</w:t>
    </w:r>
    <w:r>
      <w:rPr>
        <w:rFonts w:ascii="Segoe UI" w:hAnsi="Segoe UI" w:eastAsia="Microsoft YaHei" w:cs="Segoe UI"/>
        <w:sz w:val="16"/>
        <w:szCs w:val="16"/>
        <w:color w:val="5A6774"/>
        <w:b w:val="0"/>
        <w:bCs w:val="0"/>
        <w:i w:val="0"/>
        <w:iCs w:val="0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w="9355" w:type="dxa"/>
      <w:jc w:val="center"/>
      <w:tblInd w:w="0" w:type="dxa"/>
      <w:tblBorders>
        <w:top w:val="nil"/>
        <w:left w:val="nil"/>
        <w:right w:val="nil"/>
        <w:insideH w:val="nil"/>
        <w:insideV w:val="nil"/>
        <w:bottom w:val="single" w:sz="4" w:color="BED4E0"/>
      </w:tblBorders>
      <w:tblLayout w:type="fixed"/>
      <w:tblCellMar>
        <w:top w:w="40" w:type="dxa"/>
        <w:bottom w:w="60" w:type="dxa"/>
        <w:left w:w="0" w:type="dxa"/>
        <w:right w:w="0" w:type="dxa"/>
      </w:tblCellMar>
    </w:tblPr>
    <w:tblGrid>
      <w:gridCol w:w="1701"/>
      <w:gridCol w:w="7654"/>
    </w:tblGrid>
    <w:tr>
      <w:tc>
        <w:tcPr>
          <w:tcW w:w="1701" w:type="dxa"/>
          <w:vAlign w:val="center"/>
        </w:tcPr>
        <w:p>
          <w:pPr>
            <w:spacing w:before="0" w:after="0" w:line="436" w:lineRule="atLeast"/>
            <w:ind w:left="0" w:right="0" w:firstLine="0"/>
            <w:jc w:val="left"/>
          </w:pPr>
          <w:r>
            <w:rPr>
              <w:rFonts w:ascii="Segoe UI" w:hAnsi="Segoe UI" w:eastAsia="Microsoft YaHei" w:cs="Segoe UI"/>
              <w:sz w:val="16"/>
              <w:szCs w:val="16"/>
              <w:b w:val="0"/>
              <w:bCs w:val="0"/>
              <w:color w:val="5A6774"/>
              <w:i w:val="0"/>
              <w:iCs w:val="0"/>
            </w:rPr>
            <w:drawing>
              <wp:inline xmlns:a="http://schemas.openxmlformats.org/drawingml/2006/main" xmlns:pic="http://schemas.openxmlformats.org/drawingml/2006/picture">
                <wp:extent cx="630000" cy="1953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00" cy="1953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vAlign w:val="center"/>
        </w:tcPr>
        <w:p>
          <w:pPr>
            <w:spacing w:before="0" w:after="0" w:line="436" w:lineRule="atLeast"/>
            <w:ind w:left="0" w:right="0" w:firstLine="0"/>
            <w:jc w:val="right"/>
          </w:pPr>
          <w:r>
            <w:rPr>
              <w:rFonts w:ascii="Segoe UI" w:hAnsi="Segoe UI" w:eastAsia="Microsoft YaHei"/>
              <w:color w:val="5A6774"/>
              <w:sz w:val="16"/>
            </w:rPr>
            <w:t>生态与协同指南</w:t>
          </w:r>
        </w:p>
      </w:tc>
    </w:tr>
  </w:tbl>
  <w:p>
    <w:pPr>
      <w:spacing w:before="0" w:after="0" w:line="20" w:lineRule="exact"/>
      <w:rPr>
        <w:sz w:val="2"/>
      </w:rPr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keepLines w:val="0"/>
      <w:widowControl/>
      <w:spacing w:before="0" w:after="120" w:line="360" w:lineRule="exact"/>
      <w:ind w:left="0" w:right="0" w:firstLine="0"/>
      <w:snapToGrid w:val="0"/>
    </w:pPr>
    <w:rPr>
      <w:rFonts w:ascii="Segoe UI" w:hAnsi="Segoe UI" w:eastAsia="Microsoft YaHei" w:cs="Segoe UI"/>
      <w:sz w:val="22"/>
      <w:szCs w:val="22"/>
      <w:color w:val="161E24"/>
      <w:b w:val="0"/>
      <w:bCs w:val="0"/>
      <w:i w:val="0"/>
      <w:iCs w:val="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i w:val="0"/>
      <w:iCs w:val="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 w:val="0"/>
      <w:widowControl/>
      <w:spacing w:before="240" w:after="280" w:line="560" w:lineRule="exact"/>
      <w:ind w:left="0" w:right="0" w:firstLine="0"/>
      <w:outlineLvl w:val="0"/>
      <w:snapToGrid w:val="0"/>
    </w:pPr>
    <w:rPr>
      <w:rFonts w:ascii="Segoe UI" w:hAnsi="Segoe UI" w:eastAsia="Microsoft YaHei" w:cs="Segoe UI"/>
      <w:b w:val="1"/>
      <w:bCs w:val="1"/>
      <w:color w:val="000000"/>
      <w:sz w:val="36"/>
      <w:szCs w:val="36"/>
      <w:i w:val="0"/>
      <w:iCs w:val="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 w:val="0"/>
      <w:widowControl/>
      <w:spacing w:before="240" w:after="160" w:line="420" w:lineRule="exact"/>
      <w:ind w:left="0" w:right="0" w:firstLine="0"/>
      <w:outlineLvl w:val="1"/>
      <w:snapToGrid w:val="0"/>
    </w:pPr>
    <w:rPr>
      <w:rFonts w:ascii="Segoe UI" w:hAnsi="Segoe UI" w:eastAsia="Microsoft YaHei" w:cs="Segoe UI"/>
      <w:b w:val="1"/>
      <w:bCs w:val="1"/>
      <w:color w:val="000000"/>
      <w:sz w:val="27"/>
      <w:szCs w:val="27"/>
      <w:i w:val="0"/>
      <w:iCs w:val="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 w:val="0"/>
      <w:widowControl/>
      <w:spacing w:before="200" w:after="120" w:line="380" w:lineRule="exact"/>
      <w:ind w:left="0" w:right="0" w:firstLine="0"/>
      <w:outlineLvl w:val="2"/>
      <w:snapToGrid w:val="0"/>
    </w:pPr>
    <w:rPr>
      <w:rFonts w:ascii="Segoe UI" w:hAnsi="Segoe UI" w:eastAsia="Microsoft YaHei" w:cs="Segoe UI"/>
      <w:b w:val="1"/>
      <w:bCs w:val="1"/>
      <w:color w:val="000000"/>
      <w:sz w:val="23"/>
      <w:szCs w:val="23"/>
      <w:i w:val="0"/>
      <w:iCs w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i w:val="0"/>
      <w:iCs w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 w:val="0"/>
      <w:iCs w:val="0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 w:val="0"/>
      <w:iCs w:val="0"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i w:val="0"/>
      <w:iCs w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 w:val="0"/>
      <w:iCs w:val="0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i w:val="0"/>
      <w:iCs w:val="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 w:val="0"/>
      <w:widowControl/>
      <w:spacing w:after="280" w:line="800" w:lineRule="exact" w:before="0"/>
      <w:ind w:left="0" w:right="0" w:firstLine="0"/>
      <w:contextualSpacing/>
      <w:snapToGrid w:val="0"/>
    </w:pPr>
    <w:rPr>
      <w:rFonts w:ascii="Segoe UI" w:hAnsi="Segoe UI" w:eastAsia="Microsoft YaHei" w:cs="Segoe UI"/>
      <w:color w:val="000000"/>
      <w:spacing w:val="5"/>
      <w:kern w:val="28"/>
      <w:sz w:val="56"/>
      <w:szCs w:val="56"/>
      <w:b w:val="1"/>
      <w:bCs w:val="1"/>
      <w:i w:val="0"/>
      <w:iCs w:val="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 w:val="0"/>
      <w:widowControl/>
      <w:numPr>
        <w:ilvl w:val="1"/>
      </w:numPr>
      <w:spacing w:before="0" w:after="240" w:line="400" w:lineRule="exact"/>
      <w:ind w:left="0" w:right="0" w:firstLine="0"/>
      <w:snapToGrid w:val="0"/>
    </w:pPr>
    <w:rPr>
      <w:rFonts w:ascii="Segoe UI" w:hAnsi="Segoe UI" w:eastAsia="Microsoft YaHei" w:cs="Segoe UI"/>
      <w:i w:val="0"/>
      <w:iCs w:val="0"/>
      <w:color w:val="000000"/>
      <w:spacing w:val="15"/>
      <w:sz w:val="24"/>
      <w:szCs w:val="24"/>
      <w:b w:val="0"/>
      <w:bCs w:val="0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i w:val="0"/>
      <w:iCs w:val="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i w:val="0"/>
      <w:iCs w:val="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i w:val="0"/>
      <w:iCs w:val="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  <w:i w:val="0"/>
      <w:iCs w:val="0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i w:val="0"/>
      <w:iCs w:val="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i w:val="0"/>
      <w:iCs w:val="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i w:val="0"/>
      <w:iCs w:val="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i w:val="0"/>
      <w:iCs w:val="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i w:val="0"/>
      <w:iCs w:val="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i w:val="0"/>
      <w:iCs w:val="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i w:val="0"/>
      <w:iCs w:val="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i w:val="0"/>
      <w:iCs w:val="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i w:val="0"/>
      <w:iCs w:val="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i w:val="0"/>
      <w:iCs w:val="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i w:val="0"/>
      <w:iCs w:val="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i w:val="0"/>
      <w:iCs w:val="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  <w:i w:val="0"/>
      <w:iCs w:val="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 w:val="0"/>
      <w:iCs w:val="0"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  <w:i w:val="0"/>
      <w:iCs w:val="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 w:val="0"/>
      <w:iCs w:val="0"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i w:val="0"/>
      <w:iCs w:val="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PolloCaption">
    <w:name w:val="iPollo Caption"/>
    <w:pPr>
      <w:keepNext w:val="0"/>
      <w:keepLines w:val="0"/>
      <w:widowControl/>
      <w:spacing w:before="100" w:after="140" w:line="28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Metadata">
    <w:name w:val="iPollo Metadata"/>
    <w:pPr>
      <w:keepNext w:val="0"/>
      <w:keepLines w:val="0"/>
      <w:widowControl/>
      <w:spacing w:before="0" w:after="180" w:line="300" w:lineRule="exact"/>
      <w:ind w:left="0" w:right="0" w:firstLine="0"/>
      <w:snapToGrid w:val="0"/>
    </w:pPr>
    <w:rPr>
      <w:rFonts w:ascii="Segoe UI" w:hAnsi="Segoe UI" w:eastAsia="Microsoft YaHei" w:cs="Segoe UI"/>
      <w:sz w:val="18"/>
      <w:szCs w:val="18"/>
      <w:color w:val="5A6774"/>
      <w:b w:val="0"/>
      <w:bCs w:val="0"/>
      <w:i w:val="0"/>
      <w:iCs w:val="0"/>
    </w:rPr>
  </w:style>
  <w:style w:type="paragraph" w:customStyle="1" w:styleId="iPolloTOC">
    <w:name w:val="iPollo TOC"/>
    <w:pPr>
      <w:keepNext w:val="0"/>
      <w:keepLines w:val="0"/>
      <w:widowControl/>
      <w:spacing w:before="0" w:after="80" w:line="320" w:lineRule="exact"/>
      <w:ind w:left="0" w:right="0" w:firstLine="0"/>
      <w:snapToGrid w:val="0"/>
    </w:pPr>
    <w:rPr>
      <w:rFonts w:ascii="Segoe UI" w:hAnsi="Segoe UI" w:eastAsia="Microsoft YaHei" w:cs="Segoe UI"/>
      <w:sz w:val="20"/>
      <w:szCs w:val="20"/>
      <w:color w:val="161E24"/>
      <w:b w:val="0"/>
      <w:bCs w:val="0"/>
      <w:i w:val="0"/>
      <w:iCs w:val="0"/>
    </w:rPr>
  </w:style>
  <w:style w:type="paragraph" w:customStyle="1" w:styleId="FigureGuide">
    <w:name w:val="Figure Guide"/>
    <w:pPr>
      <w:keepLines w:val="0"/>
      <w:widowControl/>
      <w:spacing w:before="0" w:after="240" w:line="300" w:lineRule="exact"/>
    </w:pPr>
    <w:rPr>
      <w:rFonts w:ascii="Segoe UI" w:hAnsi="Segoe UI" w:eastAsia="Microsoft YaHei" w:cs="Segoe UI"/>
      <w:sz w:val="19"/>
      <w:szCs w:val="19"/>
      <w:b w:val="0"/>
      <w:bCs w:val="0"/>
      <w:color w:val="5A6774"/>
      <w:i w:val="0"/>
      <w:iCs w:val="0"/>
    </w:rPr>
  </w:style>
  <w:style w:type="paragraph" w:customStyle="1" w:styleId="CoverEyebrow">
    <w:name w:val="Cover Eyebrow"/>
    <w:pPr>
      <w:keepLines w:val="0"/>
      <w:widowControl/>
      <w:spacing w:before="0" w:after="280" w:line="320" w:lineRule="exact"/>
    </w:pPr>
    <w:rPr>
      <w:rFonts w:ascii="Segoe UI" w:hAnsi="Segoe UI" w:eastAsia="Microsoft YaHei" w:cs="Segoe UI"/>
      <w:sz w:val="18"/>
      <w:szCs w:val="18"/>
      <w:b w:val="0"/>
      <w:bCs w:val="0"/>
      <w:color w:val="5A6774"/>
      <w:i w:val="0"/>
      <w:iCs w:val="0"/>
    </w:rPr>
  </w:style>
  <w:style w:type="paragraph" w:customStyle="1" w:styleId="FrontTitle">
    <w:name w:val="Front Title"/>
    <w:pPr>
      <w:widowControl/>
      <w:spacing w:before="0" w:after="440" w:line="600" w:lineRule="exact"/>
      <w:ind w:firstLine="0" w:left="0" w:right="0"/>
    </w:pPr>
    <w:rPr>
      <w:rFonts w:ascii="Segoe UI" w:hAnsi="Segoe UI" w:eastAsia="Microsoft YaHei" w:cs="Segoe UI"/>
      <w:sz w:val="40"/>
      <w:szCs w:val="40"/>
      <w:b w:val="1"/>
      <w:bCs w:val="1"/>
      <w:color w:val="000000"/>
      <w:i w:val="0"/>
      <w:iCs w:val="0"/>
    </w:rPr>
  </w:style>
  <w:style w:type="paragraph" w:customStyle="1" w:styleId="AbstractBody">
    <w:name w:val="Abstract Body"/>
    <w:pPr>
      <w:widowControl/>
      <w:spacing w:before="0" w:after="160" w:line="400" w:lineRule="exact"/>
      <w:ind w:firstLine="0" w:left="0" w:right="0"/>
    </w:pPr>
    <w:rPr>
      <w:rFonts w:ascii="Segoe UI" w:hAnsi="Segoe UI" w:eastAsia="Microsoft YaHei" w:cs="Segoe UI"/>
      <w:sz w:val="22"/>
      <w:szCs w:val="22"/>
      <w:b w:val="0"/>
      <w:bCs w:val="0"/>
      <w:color w:val="161E24"/>
      <w:i w:val="0"/>
      <w:iCs w:val="0"/>
    </w:rPr>
  </w:style>
  <w:style w:type="paragraph" w:customStyle="1" w:styleId="FrontMetadata">
    <w:name w:val="Front Metadata"/>
    <w:pPr>
      <w:widowControl/>
      <w:spacing w:before="0" w:after="180" w:line="340" w:lineRule="exact"/>
      <w:ind w:firstLine="0" w:left="0" w:right="0"/>
    </w:pPr>
    <w:rPr>
      <w:rFonts w:ascii="Segoe UI" w:hAnsi="Segoe UI" w:eastAsia="Microsoft YaHei" w:cs="Segoe UI"/>
      <w:sz w:val="20"/>
      <w:szCs w:val="20"/>
      <w:b w:val="0"/>
      <w:bCs w:val="0"/>
      <w:color w:val="5A6774"/>
      <w:i w:val="0"/>
      <w:iCs w:val="0"/>
    </w:rPr>
  </w:style>
  <w:style w:type="paragraph" w:customStyle="1" w:styleId="TOC1">
    <w:name w:val="TOC 1"/>
    <w:pPr>
      <w:widowControl/>
      <w:spacing w:before="160" w:after="60" w:line="320" w:lineRule="exact"/>
      <w:ind w:firstLine="0" w:left="0" w:right="0"/>
    </w:pPr>
    <w:rPr>
      <w:rFonts w:ascii="Segoe UI" w:hAnsi="Segoe UI" w:eastAsia="Microsoft YaHei" w:cs="Segoe UI"/>
      <w:sz w:val="22"/>
      <w:szCs w:val="22"/>
      <w:b w:val="1"/>
      <w:bCs w:val="1"/>
      <w:color w:val="177D83"/>
      <w:i w:val="0"/>
      <w:iCs w:val="0"/>
    </w:rPr>
  </w:style>
  <w:style w:type="paragraph" w:customStyle="1" w:styleId="TOC2">
    <w:name w:val="TOC 2"/>
    <w:pPr>
      <w:widowControl/>
      <w:spacing w:before="0" w:after="60" w:line="320" w:lineRule="exact"/>
      <w:ind w:firstLine="0" w:left="0" w:right="0"/>
    </w:pPr>
    <w:rPr>
      <w:rFonts w:ascii="Segoe UI" w:hAnsi="Segoe UI" w:eastAsia="Microsoft YaHei" w:cs="Segoe UI"/>
      <w:sz w:val="21"/>
      <w:szCs w:val="21"/>
      <w:b w:val="0"/>
      <w:bCs w:val="0"/>
      <w:color w:val="161E24"/>
      <w:i w:val="0"/>
      <w:iCs w:val="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iPollo 生态与协同使用指南</dc:title>
  <dc:subject>iPollo 产品文档体系</dc:subject>
  <dc:creator>iPollo</dc:creator>
  <cp:keywords>iPollo 功能使用 协同 教程</cp:keywords>
  <dc:description>generated by python-docx</dc:description>
  <cp:lastModifiedBy>iPollo</cp:lastModifiedBy>
  <cp:revision>4</cp:revision>
  <dcterms:created xsi:type="dcterms:W3CDTF">2013-12-23T23:15:00Z</dcterms:created>
  <dcterms:modified xsi:type="dcterms:W3CDTF">2013-12-23T23:15:00Z</dcterms:modified>
  <cp:category/>
</cp:coreProperties>
</file>