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880"/>
        <w:jc w:val="center"/>
      </w:pPr>
      <w:r>
        <w:drawing>
          <wp:inline xmlns:a="http://schemas.openxmlformats.org/drawingml/2006/main" xmlns:pic="http://schemas.openxmlformats.org/drawingml/2006/picture">
            <wp:extent cx="1260000" cy="3906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39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rontMetadata"/>
        <w:spacing w:after="340"/>
        <w:jc w:val="center"/>
      </w:pPr>
      <w:r>
        <w:rPr>
          <w:rFonts w:ascii="Segoe UI" w:hAnsi="Segoe UI" w:eastAsia="Microsoft YaHei" w:cs="Segoe UI"/>
          <w:sz w:val="20"/>
          <w:szCs w:val="20"/>
          <w:b w:val="0"/>
          <w:bCs w:val="0"/>
          <w:color w:val="177D83"/>
          <w:i w:val="0"/>
          <w:iCs w:val="0"/>
        </w:rPr>
        <w:t>iPollo 产品文档  /  04</w:t>
      </w:r>
    </w:p>
    <w:p>
      <w:pPr>
        <w:pStyle w:val="Title"/>
        <w:jc w:val="center"/>
      </w:pPr>
      <w:r>
        <w:t>iPollo Enterprise Server</w:t>
        <w:br/>
        <w:t>企业功能使用手册</w:t>
      </w:r>
    </w:p>
    <w:p>
      <w:pPr>
        <w:pStyle w:val="FrontMetadata"/>
        <w:spacing w:after="600"/>
        <w:jc w:val="center"/>
      </w:pPr>
      <w:r>
        <w:t>使用指南与操作参考</w:t>
      </w:r>
    </w:p>
    <w:p>
      <w:pPr>
        <w:spacing w:line="240" w:lineRule="auto" w:after="600"/>
        <w:jc w:val="center"/>
      </w:pPr>
      <w:r>
        <w:drawing>
          <wp:inline xmlns:a="http://schemas.openxmlformats.org/drawingml/2006/main" xmlns:pic="http://schemas.openxmlformats.org/drawingml/2006/picture">
            <wp:extent cx="5940000" cy="240428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04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rontMetadata"/>
        <w:jc w:val="center"/>
      </w:pPr>
      <w:r>
        <w:t>iPollo</w:t>
      </w:r>
    </w:p>
    <w:p>
      <w:pPr>
        <w:pStyle w:val="FrontMetadata"/>
        <w:jc w:val="center"/>
      </w:pPr>
      <w:r>
        <w:t>文档编号  IP-ENTERPRISE</w:t>
      </w:r>
    </w:p>
    <w:p>
      <w:pPr>
        <w:pStyle w:val="FrontMetadata"/>
        <w:jc w:val="center"/>
        <w:sectPr w:rsidR="00FC693F" w:rsidRPr="0006063C" w:rsidSect="00034616">
          <w:pgSz w:w="11906" w:h="16838"/>
          <w:pgMar w:top="1417" w:right="1134" w:bottom="1134" w:left="1417" w:header="851" w:footer="567" w:gutter="0"/>
          <w:cols w:space="720"/>
          <w:type w:val="nextPage"/>
        </w:sectPr>
      </w:pPr>
      <w:r>
        <w:t>2026 年 11 月 2 日</w:t>
      </w:r>
    </w:p>
    <w:p>
      <w:pPr>
        <w:pStyle w:val="FrontTitle"/>
        <w:pageBreakBefore w:val="1"/>
        <w:jc w:val="center"/>
      </w:pPr>
      <w:r>
        <w:t>摘  要</w:t>
      </w:r>
    </w:p>
    <w:p>
      <w:pPr>
        <w:pStyle w:val="AbstractBody"/>
        <w:ind w:firstLine="440"/>
        <w:jc w:val="both"/>
      </w:pPr>
      <w:r>
        <w:t>本手册面向 iPollo Enterprise Server 的部署管理员、企业后台管理员、资源管理员和企业员工，介绍企业服务接入、组织维护、资源审核分发及协作功能。它将原企业功能使用教程中的接入流程纳入统一的操作体系，帮助管理员和员工按各自职责完成使用。</w:t>
      </w:r>
    </w:p>
    <w:p>
      <w:pPr>
        <w:pStyle w:val="AbstractBody"/>
        <w:ind w:firstLine="440"/>
        <w:jc w:val="both"/>
      </w:pPr>
      <w:r>
        <w:t>全书首先说明企业服务准备、部门成员、角色权限和员工从 Work 加入企业的步骤，随后讲解模板、插件与技能的上传审核、发布下架、会话快照分享，以及品牌、备份和迁移。各项功能均提供入口、操作步骤和完成标志，另设管理员与员工验收章节及能力范围附录。</w:t>
      </w:r>
    </w:p>
    <w:p>
      <w:pPr>
        <w:pStyle w:val="AbstractBody"/>
        <w:ind w:firstLine="440"/>
        <w:jc w:val="both"/>
      </w:pPr>
      <w:r>
        <w:t>企业服务地址必须能够从员工设备访问，资源授权应与成员、部门和角色相匹配。管理员完成配置后，仍需使用普通员工身份验证资源可见性、安装和使用结果；通过 OS 部署企业后台时，请同时查阅 OS 手册中的服务部署与维护说明。</w:t>
      </w:r>
    </w:p>
    <w:p>
      <w:pPr>
        <w:pStyle w:val="AbstractBody"/>
        <w:spacing w:before="200" w:after="440"/>
      </w:pPr>
      <w:r>
        <w:rPr>
          <w:rFonts w:ascii="Segoe UI" w:hAnsi="Segoe UI" w:eastAsia="Microsoft YaHei" w:cs="Segoe UI"/>
          <w:sz w:val="22"/>
          <w:szCs w:val="22"/>
          <w:b w:val="1"/>
          <w:bCs w:val="1"/>
          <w:color w:val="177D83"/>
          <w:i w:val="0"/>
          <w:iCs w:val="0"/>
        </w:rPr>
        <w:t>关键词：</w:t>
      </w:r>
      <w:r>
        <w:t>Enterprise；组织管理；资源授权；企业接入；资源审核</w:t>
      </w:r>
    </w:p>
    <w:p>
      <w:pPr>
        <w:pStyle w:val="FrontMetadata"/>
        <w:spacing w:after="220"/>
      </w:pPr>
      <w:r>
        <w:t>适用读者  企业后台管理员、资源管理员、企业员工</w:t>
      </w:r>
    </w:p>
    <w:p>
      <w:pPr>
        <w:pStyle w:val="FrontMetadata"/>
      </w:pPr>
      <w:r>
        <w:t>版本说明  操作界面采集于 2026 年 11 月 2 日。功能说明结合原项目指南与本地项目资料整理；实际能力以目标版本、权限和部署环境为准。</w:t>
      </w:r>
    </w:p>
    <w:p>
      <w:pPr>
        <w:pStyle w:val="FrontMetadata"/>
      </w:pPr>
      <w:r>
        <w:t>图示说明  截图聚焦操作入口与配置位置，图下注明关注点。模型调用、远程部署和外部服务的最终结果，需要在实际环境确认。</w:t>
      </w:r>
    </w:p>
    <w:p>
      <w:pPr>
        <w:pStyle w:val="FrontTitle"/>
        <w:pageBreakBefore w:val="1"/>
        <w:jc w:val="center"/>
      </w:pPr>
      <w:r>
        <w:t>目  录</w:t>
      </w:r>
    </w:p>
    <w:p>
      <w:pPr>
        <w:pStyle w:val="TOC1"/>
        <w:keepNext/>
        <w:tabs>
          <w:tab w:pos="9354" w:val="right" w:leader="dot"/>
        </w:tabs>
        <w:ind w:left="0"/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formal_enterprise_001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第 1 章  企业接入与组织管理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formal_enterprise_001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nterprise_002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1.1  部署企业服务与管理登录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formal_enterprise_002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nterprise_003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1.2  建立部门和添加成员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formal_enterprise_003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2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nterprise_004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1.3  分配角色和资源使用范围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formal_enterprise_004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3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nterprise_005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1.4  员工从 Work 加入企业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formal_enterprise_005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4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1"/>
        <w:keepNext/>
        <w:tabs>
          <w:tab w:pos="9354" w:val="right" w:leader="dot"/>
        </w:tabs>
        <w:ind w:left="0"/>
      </w:pPr>
      <w:hyperlink w:anchor="formal_enterprise_007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第 2 章  资源审核分发与协作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formal_enterprise_007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6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nterprise_008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2.1  模板插件与技能上传投稿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formal_enterprise_008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6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nterprise_009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2.2  审核发布下架与安装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formal_enterprise_009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7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nterprise_010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2.3  分享会话快照与处理回执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formal_enterprise_010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8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nterprise_011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2.4  品牌分类备份与迁移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formal_enterprise_011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9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1"/>
        <w:keepNext/>
        <w:tabs>
          <w:tab w:pos="9354" w:val="right" w:leader="dot"/>
        </w:tabs>
        <w:ind w:left="0"/>
      </w:pPr>
      <w:hyperlink w:anchor="formal_enterprise_012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第 3 章  管理员与员工的验收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formal_enterprise_012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10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1"/>
        <w:keepNext/>
        <w:tabs>
          <w:tab w:pos="9354" w:val="right" w:leader="dot"/>
        </w:tabs>
        <w:ind w:left="0"/>
      </w:pPr>
      <w:hyperlink w:anchor="formal_enterprise_013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附录 A  产品能力与使用范围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formal_enterprise_013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11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nterprise_014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A.1  成员与部门组织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formal_enterprise_014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11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nterprise_015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A.2  企业加入与身份会话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formal_enterprise_015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11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nterprise_016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A.3  角色与职责分工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formal_enterprise_016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11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nterprise_017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A.4  资源级访问控制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formal_enterprise_017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11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nterprise_018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A.5  品牌与企业入口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formal_enterprise_018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11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nterprise_019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A.6  治理资料的存放位置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formal_enterprise_019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11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nterprise_020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A.7  企业资源协作与部署方式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formal_enterprise_020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12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1"/>
        <w:keepNext/>
        <w:tabs>
          <w:tab w:pos="9354" w:val="right" w:leader="dot"/>
        </w:tabs>
        <w:ind w:left="0"/>
        <w:sectPr w:rsidR="00FC693F" w:rsidRPr="0006063C" w:rsidSect="00034616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134" w:bottom="1134" w:left="1417" w:header="851" w:footer="567" w:gutter="0"/>
          <w:cols w:space="720"/>
          <w:pgNumType w:fmt="upperRoman" w:start="1"/>
          <w:type w:val="nextPage"/>
        </w:sectPr>
      </w:pPr>
      <w:hyperlink w:anchor="formal_enterprise_028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资料依据与使用边界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formal_enterprise_028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13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  <w:r>
        <w:fldChar w:fldCharType="end"/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00" w:name="formal_enterprise_001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1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企业接入与组织管理</w:t>
      </w:r>
      <w:bookmarkEnd w:id="20000"/>
    </w:p>
    <w:p>
      <w:pPr>
        <w:pStyle w:val="Heading2"/>
        <w:keepNext/>
        <w:pageBreakBefore w:val="0"/>
        <w:widowControl/>
        <w:snapToGrid w:val="0"/>
        <w:jc w:val="left"/>
      </w:pPr>
      <w:bookmarkStart w:id="20001" w:name="formal_enterprise_002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1.1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部署企业服务与管理登录</w:t>
      </w:r>
      <w:bookmarkEnd w:id="20001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独立 Enterprise 部署管理员；或 OS 部署的企业后台入口。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60000" cy="3240000"/>
            <wp:docPr id="3" name="Picture 3" descr="企业服务与身份接入状态。先检查企业实例 数据库和账号服务，再配置成员使用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terprise-overview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01  企业服务与身份接入状态</w:t>
      </w:r>
    </w:p>
    <w:p>
      <w:pPr>
        <w:pStyle w:val="FigureGuide"/>
        <w:widowControl/>
        <w:snapToGrid w:val="0"/>
      </w:pPr>
      <w:r>
        <w:t>先检查企业实例 数据库和账号服务，再配置成员使用。</w:t>
      </w:r>
    </w:p>
    <w:p>
      <w:pPr>
        <w:widowControl/>
        <w:snapToGrid w:val="0"/>
        <w:spacing w:after="140"/>
        <w:ind w:left="312" w:hanging="312"/>
      </w:pPr>
      <w:r>
        <w:t>1. 独立服务准备 PostgreSQL、制品持久化、HTTPS 和部署管理员配置，完成迁移和启动。</w:t>
      </w:r>
    </w:p>
    <w:p>
      <w:pPr>
        <w:widowControl/>
        <w:snapToGrid w:val="0"/>
        <w:spacing w:after="140"/>
        <w:ind w:left="312" w:hanging="312"/>
      </w:pPr>
      <w:r>
        <w:t>2. 打开企业服务地址，以部署时配置的管理员账号登录；OS 方式从应用与集群的企业后台进入。</w:t>
      </w:r>
    </w:p>
    <w:p>
      <w:pPr>
        <w:widowControl/>
        <w:snapToGrid w:val="0"/>
        <w:spacing w:after="140"/>
        <w:ind w:left="312" w:hanging="312"/>
      </w:pPr>
      <w:r>
        <w:t>3. 核对企业名称、当前服务地址、健康状态和数据位置；企业成员登录与部署后台登录分开使用。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管理页面可用且刷新后数据保留。独立服务常见开发端口 3200，OS 部署常见端口 4320。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2" w:name="formal_enterprise_003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1.2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建立部门和添加成员</w:t>
      </w:r>
      <w:bookmarkEnd w:id="20002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企业后台 → 部门及成员；具备组织管理权限。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507826" cy="3240000"/>
            <wp:docPr id="4" name="Picture 4" descr="建立部门层级。先维护部门，再到成员列表设置归属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terprise-department-form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07826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02  建立部门层级</w:t>
      </w:r>
    </w:p>
    <w:p>
      <w:pPr>
        <w:pStyle w:val="FigureGuide"/>
        <w:widowControl/>
        <w:snapToGrid w:val="0"/>
      </w:pPr>
      <w:r>
        <w:t>先维护部门，再到成员列表设置归属。</w:t>
      </w:r>
    </w:p>
    <w:p>
      <w:pPr>
        <w:widowControl/>
        <w:snapToGrid w:val="0"/>
        <w:spacing w:after="140"/>
        <w:ind w:left="312" w:hanging="312"/>
      </w:pPr>
      <w:r>
        <w:t>1. 先建部门并选择上级；成员新增时填写员工使用的账号邮箱，设置部门、角色和状态。</w:t>
      </w:r>
    </w:p>
    <w:p>
      <w:pPr>
        <w:widowControl/>
        <w:snapToGrid w:val="0"/>
        <w:spacing w:after="140"/>
        <w:ind w:left="312" w:hanging="312"/>
      </w:pPr>
      <w:r>
        <w:t>2. 按部门与角色搜索检查；员工首次加入时由已验证账号回填身份资料。</w:t>
      </w:r>
    </w:p>
    <w:p>
      <w:pPr>
        <w:widowControl/>
        <w:snapToGrid w:val="0"/>
        <w:spacing w:after="140"/>
        <w:ind w:left="312" w:hanging="312"/>
      </w:pPr>
      <w:r>
        <w:t>3. 员工调岗时修改部门与角色；离职时按成员状态或退出流程收回访问，核对授权结果。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人员归属正确，部门与下级权限继承符合预期；删除有下级的部门前需先处理层级。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3" w:name="formal_enterprise_004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1.3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分配角色和资源使用范围</w:t>
      </w:r>
      <w:bookmarkEnd w:id="20003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成员角色；企业资源卡片的权限设置。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60000" cy="3240000"/>
            <wp:docPr id="5" name="Picture 5" descr="按部门与角色筛选成员。资源权限与成员角色分别检查，并用普通成员验证范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terprise-member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03  按部门与角色筛选成员</w:t>
      </w:r>
    </w:p>
    <w:p>
      <w:pPr>
        <w:pStyle w:val="FigureGuide"/>
        <w:widowControl/>
        <w:snapToGrid w:val="0"/>
      </w:pPr>
      <w:r>
        <w:t>资源权限与成员角色分别检查，并用普通成员验证范围。</w:t>
      </w:r>
    </w:p>
    <w:p>
      <w:pPr>
        <w:widowControl/>
        <w:snapToGrid w:val="0"/>
        <w:spacing w:after="140"/>
        <w:ind w:left="312" w:hanging="312"/>
      </w:pPr>
      <w:r>
        <w:t>1. 按实际职责授予总管理员或模板、插件、技能等专项权限，普通员工保留成员角色。</w:t>
      </w:r>
    </w:p>
    <w:p>
      <w:pPr>
        <w:widowControl/>
        <w:snapToGrid w:val="0"/>
        <w:spacing w:after="140"/>
        <w:ind w:left="312" w:hanging="312"/>
      </w:pPr>
      <w:r>
        <w:t>2. 给具体资源选择全员、指定员工、部门或仅管理员范围，保存当前权限版本。</w:t>
      </w:r>
    </w:p>
    <w:p>
      <w:pPr>
        <w:widowControl/>
        <w:snapToGrid w:val="0"/>
        <w:spacing w:after="140"/>
        <w:ind w:left="312" w:hanging="312"/>
      </w:pPr>
      <w:r>
        <w:t>3. 使用不同成员账号分别查看列表并尝试下载；遇到版本冲突先刷新当前配置再修改。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有权成员可使用，无权成员无法列出或下载；专项管理员不会因一个角色获得全部管理权。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4" w:name="formal_enterprise_005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1.4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员工从 Work 加入企业</w:t>
      </w:r>
      <w:bookmarkEnd w:id="20004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管理员提供企业地址与加入码；员工已登录正确 iPollo Account。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251465" cy="2700000"/>
            <wp:docPr id="6" name="Picture 6" descr="从成员页面取得加入码。复制当前有效加入码，并确认企业地址可从员工电脑访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terprise-invit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51465" cy="270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04  从成员页面取得加入码</w:t>
      </w:r>
    </w:p>
    <w:p>
      <w:pPr>
        <w:pStyle w:val="FigureGuide"/>
        <w:widowControl/>
        <w:snapToGrid w:val="0"/>
      </w:pPr>
      <w:r>
        <w:t>复制当前有效加入码，并确认企业地址可从员工电脑访问。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3827848" cy="2700000"/>
            <wp:docPr id="7" name="Picture 7" descr="在 Work 中加入企业。使用员工账号，输入管理员提供的地址和加入码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joi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27848" cy="270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05  在 Work 中加入企业</w:t>
      </w:r>
    </w:p>
    <w:p>
      <w:pPr>
        <w:pStyle w:val="FigureGuide"/>
        <w:widowControl/>
        <w:snapToGrid w:val="0"/>
      </w:pPr>
      <w:r>
        <w:t>使用员工账号，输入管理员提供的地址和加入码。</w:t>
      </w:r>
    </w:p>
    <w:p>
      <w:pPr>
        <w:widowControl/>
        <w:snapToGrid w:val="0"/>
        <w:spacing w:after="140"/>
        <w:ind w:left="312" w:hanging="312"/>
      </w:pPr>
      <w:r>
        <w:t>1. 在企业后台复制当前加入码和客户端可达地址；需要时轮换加入码。</w:t>
      </w:r>
    </w:p>
    <w:p>
      <w:pPr>
        <w:widowControl/>
        <w:snapToGrid w:val="0"/>
        <w:spacing w:after="140"/>
        <w:ind w:left="312" w:hanging="312"/>
      </w:pPr>
      <w:r>
        <w:t>2. 在 Work 的加入企业入口填写地址和加入码，按认证提示完成加入。</w:t>
      </w:r>
    </w:p>
    <w:p>
      <w:pPr>
        <w:widowControl/>
        <w:snapToGrid w:val="0"/>
        <w:spacing w:after="140"/>
        <w:ind w:left="312" w:hanging="312"/>
      </w:pPr>
      <w:r>
        <w:t>3. 选择企业来源，检查模板、插件或技能列表；需要管理员身份时先按员工邮箱建好相应记录。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Work 取得该企业会话并仅显示授权资源。加入码只用于加入，不自动赋予管理权限。</w:t>
      </w:r>
    </w:p>
    <w:p>
      <w:pPr>
        <w:pStyle w:val="Heading3"/>
        <w:keepNext/>
        <w:pageBreakBefore/>
        <w:widowControl/>
        <w:snapToGrid w:val="0"/>
        <w:jc w:val="left"/>
      </w:pPr>
      <w:bookmarkStart w:id="20005" w:name="formal_enterprise_006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1.4.1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企业接入与使用的完整流程</w:t>
      </w:r>
      <w:bookmarkEnd w:id="20005"/>
    </w:p>
    <w:p>
      <w:pPr>
        <w:widowControl/>
        <w:snapToGrid w:val="0"/>
        <w:spacing w:after="140"/>
        <w:ind w:left="312" w:hanging="312"/>
      </w:pPr>
      <w:r>
        <w:t>1. 安装并打开 iPolloOS。在目标电脑安装 iPolloOS，打开后确认顶部位置为本机或计划管理的服务器。先检查设备与运行环境；云端部署还需具备对应的服务器管理权限。</w:t>
      </w:r>
    </w:p>
    <w:p>
      <w:pPr>
        <w:widowControl/>
        <w:snapToGrid w:val="0"/>
        <w:spacing w:after="140"/>
        <w:ind w:left="312" w:hanging="312"/>
      </w:pPr>
      <w:r>
        <w:t>2. 部署企业后台。进入左侧应用与集群，在内置应用中选择企业后台管理，点击部署与配置企业后台。核对部署位置、端口与发布地址后按页面完成部署。内置企业后台与容器集群分别准备。</w:t>
      </w:r>
    </w:p>
    <w:p>
      <w:pPr>
        <w:widowControl/>
        <w:snapToGrid w:val="0"/>
        <w:spacing w:after="140"/>
        <w:ind w:left="312" w:hanging="312"/>
      </w:pPr>
      <w:r>
        <w:t>3. 取得企业地址和加入码。服务就绪后打开企业后台页面。OS 内置后台按服务窗口和设置页显示的信息复制企业地址与加入码；独立 Enterprise 在设置中核对服务地址，在成员 → 邀请成员中取得加入码。员工电脑应能访问该域名或 IP；公网 HTTPS 由部署管理员配置。</w:t>
      </w:r>
    </w:p>
    <w:p>
      <w:pPr>
        <w:widowControl/>
        <w:snapToGrid w:val="0"/>
        <w:spacing w:after="140"/>
        <w:ind w:left="312" w:hanging="312"/>
      </w:pPr>
      <w:r>
        <w:t>4. 在 Work 登录账号。打开 iPolloWork，从左下角登录入口或设置中的账号页面登录 iPollo Account。确认使用员工本人账号，再继续加入企业。</w:t>
      </w:r>
    </w:p>
    <w:p>
      <w:pPr>
        <w:widowControl/>
        <w:snapToGrid w:val="0"/>
        <w:spacing w:after="140"/>
        <w:ind w:left="312" w:hanging="312"/>
      </w:pPr>
      <w:r>
        <w:t>5. 加入企业。在账号页面找到加入企业，填写企业服务地址和加入码，完成身份验证。加入后检查企业名称和账号归属；若无法加入，先核对地址可达性、加入码有效性和账号状态。</w:t>
      </w:r>
    </w:p>
    <w:p>
      <w:pPr>
        <w:widowControl/>
        <w:snapToGrid w:val="0"/>
        <w:spacing w:after="140"/>
        <w:ind w:left="312" w:hanging="312"/>
      </w:pPr>
      <w:r>
        <w:t>6. 选择企业资源并开始工作。切换到已加入的企业来源，查看获授权的模板、插件与技能。按需下载并安装资源，在 Work 项目中完成网页、演示文稿、视频或其他任务。项目文件与任务仍按 Work 的项目管理方式保存。</w:t>
      </w:r>
    </w:p>
    <w:p>
      <w:pPr>
        <w:widowControl/>
        <w:snapToGrid w:val="0"/>
        <w:spacing w:after="140"/>
        <w:ind w:left="312" w:hanging="312"/>
      </w:pPr>
      <w:r>
        <w:t>7. 审核投稿并分配使用范围。管理员在企业服务页面维护成员、部门与资源权限，审核员工投稿的模板或扩展，分配给指定成员、部门或全员。员工在授权范围内使用资源，并可按投稿流程上传自己的作品；更新后再次核对资源可见性和版本。</w:t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06" w:name="formal_enterprise_007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2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资源审核分发与协作</w:t>
      </w:r>
      <w:bookmarkEnd w:id="20006"/>
    </w:p>
    <w:p>
      <w:pPr>
        <w:pStyle w:val="Heading2"/>
        <w:keepNext/>
        <w:pageBreakBefore w:val="0"/>
        <w:widowControl/>
        <w:snapToGrid w:val="0"/>
        <w:jc w:val="left"/>
      </w:pPr>
      <w:bookmarkStart w:id="20007" w:name="formal_enterprise_008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2.1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模板插件与技能上传投稿</w:t>
      </w:r>
      <w:bookmarkEnd w:id="20007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企业后台企业资源；员工在 Work 的个人资源投稿入口。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3024000" cy="3240000"/>
            <wp:docPr id="8" name="Picture 8" descr="上传企业模板。名称 类型与模板文件清单保持一致，上传后检查审核状态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terprise-upload-templat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06  上传企业模板</w:t>
      </w:r>
    </w:p>
    <w:p>
      <w:pPr>
        <w:pStyle w:val="FigureGuide"/>
        <w:widowControl/>
        <w:snapToGrid w:val="0"/>
      </w:pPr>
      <w:r>
        <w:t>名称 类型与模板文件清单保持一致，上传后检查审核状态。</w:t>
      </w:r>
    </w:p>
    <w:p>
      <w:pPr>
        <w:widowControl/>
        <w:snapToGrid w:val="0"/>
        <w:spacing w:after="140"/>
        <w:ind w:left="312" w:hanging="312"/>
      </w:pPr>
      <w:r>
        <w:t>1. 选择资源类型，上传相符包；员工可从我的模板等来源选择投稿到当前企业。</w:t>
      </w:r>
    </w:p>
    <w:p>
      <w:pPr>
        <w:widowControl/>
        <w:snapToGrid w:val="0"/>
        <w:spacing w:after="140"/>
        <w:ind w:left="312" w:hanging="312"/>
      </w:pPr>
      <w:r>
        <w:t>2. 检查名称、分类、版本和包内容；同版本不同内容需提高版本号，更新应沿用原包身份。</w:t>
      </w:r>
    </w:p>
    <w:p>
      <w:pPr>
        <w:widowControl/>
        <w:snapToGrid w:val="0"/>
        <w:spacing w:after="140"/>
        <w:ind w:left="312" w:hanging="312"/>
      </w:pPr>
      <w:r>
        <w:t>3. 提交后查看待审核状态与反馈，按退回说明修改并以正确版本重新提交。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企业出现对应资源与版本，投稿不会未经审核直接向全员发布。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8" w:name="formal_enterprise_009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2.2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审核发布下架与安装</w:t>
      </w:r>
      <w:bookmarkEnd w:id="20008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企业后台资源版本或卡片操作；相应专项管理员。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60000" cy="3240000"/>
            <wp:docPr id="9" name="Picture 9" descr="企业资源分类和管理入口。发布前确认审核版本与授权范围，再由员工验证安装和使用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terprise-resources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07  企业资源分类和管理入口</w:t>
      </w:r>
    </w:p>
    <w:p>
      <w:pPr>
        <w:pStyle w:val="FigureGuide"/>
        <w:widowControl/>
        <w:snapToGrid w:val="0"/>
      </w:pPr>
      <w:r>
        <w:t>发布前确认审核版本与授权范围，再由员工验证安装和使用。</w:t>
      </w:r>
    </w:p>
    <w:p>
      <w:pPr>
        <w:widowControl/>
        <w:snapToGrid w:val="0"/>
        <w:spacing w:after="140"/>
        <w:ind w:left="312" w:hanging="312"/>
      </w:pPr>
      <w:r>
        <w:t>1. 打开待审资源，检查预览、清单和版本；审核通过或填写退回说明。</w:t>
      </w:r>
    </w:p>
    <w:p>
      <w:pPr>
        <w:widowControl/>
        <w:snapToGrid w:val="0"/>
        <w:spacing w:after="140"/>
        <w:ind w:left="312" w:hanging="312"/>
      </w:pPr>
      <w:r>
        <w:t>2. 发布时分配使用范围，使用普通成员查看资源；在 Work 点击使用或安装后才下载制品。</w:t>
      </w:r>
    </w:p>
    <w:p>
      <w:pPr>
        <w:widowControl/>
        <w:snapToGrid w:val="0"/>
        <w:spacing w:after="140"/>
        <w:ind w:left="312" w:hanging="312"/>
      </w:pPr>
      <w:r>
        <w:t>3. 更新审核新版本；需停用时下架，恢复时重新上架并核对沿用权限。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发布版本可按权限使用，下架后新下载被拒绝；已下载到成员电脑的副本不因下架自动删除。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9" w:name="formal_enterprise_010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2.3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分享会话快照与处理回执</w:t>
      </w:r>
      <w:bookmarkEnd w:id="20009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Work 企业会话分享入口；企业会话快照服务。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995368" cy="2112804"/>
            <wp:docPr id="10" name="Picture 10" descr="先确认 Work 中的企业身份。加入企业后使用目标企业提供的会话分享入口；本图显示账号与企业来源的准备位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g1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95368" cy="2112804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08  先确认 Work 中的企业身份</w:t>
      </w:r>
    </w:p>
    <w:p>
      <w:pPr>
        <w:pStyle w:val="FigureGuide"/>
        <w:widowControl/>
        <w:snapToGrid w:val="0"/>
      </w:pPr>
      <w:r>
        <w:t>加入企业后使用目标企业提供的会话分享入口；本图显示账号与企业来源的准备位置。</w:t>
      </w:r>
    </w:p>
    <w:p>
      <w:pPr>
        <w:widowControl/>
        <w:snapToGrid w:val="0"/>
        <w:spacing w:after="140"/>
        <w:ind w:left="312" w:hanging="312"/>
      </w:pPr>
      <w:r>
        <w:t>1. 选择需要交接的会话内容，以 Markdown 快照主动分享给目标成员。</w:t>
      </w:r>
    </w:p>
    <w:p>
      <w:pPr>
        <w:widowControl/>
        <w:snapToGrid w:val="0"/>
        <w:spacing w:after="140"/>
        <w:ind w:left="312" w:hanging="312"/>
      </w:pPr>
      <w:r>
        <w:t>2. 接收方查看后按实际情况标记接收或忽略，发送方检查独立已读与处理回执。</w:t>
      </w:r>
    </w:p>
    <w:p>
      <w:pPr>
        <w:widowControl/>
        <w:snapToGrid w:val="0"/>
        <w:spacing w:after="140"/>
        <w:ind w:left="312" w:hanging="312"/>
      </w:pPr>
      <w:r>
        <w:t>3. 需要收回时使用撤回；重要资料仍按项目与文件交付方式保存。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快照与回执可查询；共享的是资料快照，不是实时共同编辑或原会话执行进程。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10" w:name="formal_enterprise_011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2.4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品牌分类备份与迁移</w:t>
      </w:r>
      <w:bookmarkEnd w:id="20010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企业后台 → 设置与企业资源分类；部署维护人员。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60000" cy="3240000"/>
            <wp:docPr id="11" name="Picture 11" descr="维护企业品牌与部署信息。更新后在 Work 刷新企业来源，并按本节要求备份数据和制品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terprise-setting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09  维护企业品牌与部署信息</w:t>
      </w:r>
    </w:p>
    <w:p>
      <w:pPr>
        <w:pStyle w:val="FigureGuide"/>
        <w:widowControl/>
        <w:snapToGrid w:val="0"/>
      </w:pPr>
      <w:r>
        <w:t>更新后在 Work 刷新企业来源，并按本节要求备份数据和制品。</w:t>
      </w:r>
    </w:p>
    <w:p>
      <w:pPr>
        <w:widowControl/>
        <w:snapToGrid w:val="0"/>
        <w:spacing w:after="140"/>
        <w:ind w:left="312" w:hanging="312"/>
      </w:pPr>
      <w:r>
        <w:t>1. 修改企业名称或图标，维护业务分类与允许的导航；在 Work 刷新企业来源检查展示。</w:t>
      </w:r>
    </w:p>
    <w:p>
      <w:pPr>
        <w:widowControl/>
        <w:snapToGrid w:val="0"/>
        <w:spacing w:after="140"/>
        <w:ind w:left="312" w:hanging="312"/>
      </w:pPr>
      <w:r>
        <w:t>2. 备份数据库和制品目录；OS 部署的服务同时备份相应空间与服务配置。</w:t>
      </w:r>
    </w:p>
    <w:p>
      <w:pPr>
        <w:widowControl/>
        <w:snapToGrid w:val="0"/>
        <w:spacing w:after="140"/>
        <w:ind w:left="312" w:hanging="312"/>
      </w:pPr>
      <w:r>
        <w:t>3. 需迁移时使用对应导出与导入流程，核对企业身份、成员和文件摘要，目标冲突时先核实资料。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品牌可识别，恢复或迁移后身份和资源一致；迁移目标不可未经核对覆盖已有企业资料。</w:t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11" w:name="formal_enterprise_012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3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管理员与员工的验收</w:t>
      </w:r>
      <w:bookmarkEnd w:id="20011"/>
    </w:p>
    <w:tbl>
      <w:tblPr>
        <w:tblW w:type="dxa" w:w="9411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Look w:firstColumn="1" w:firstRow="1" w:lastColumn="0" w:lastRow="0" w:noHBand="0" w:noVBand="1" w:val="04A0"/>
      </w:tblPr>
      <w:tblGrid>
        <w:gridCol w:w="2152"/>
        <w:gridCol w:w="7202"/>
      </w:tblGrid>
      <w:tr>
        <w:trPr>
          <w:cantSplit/>
          <w:tblHeader w:val="1"/>
        </w:trPr>
        <w:tc>
          <w:tcPr>
            <w:tcW w:type="dxa" w:w="2152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身份</w:t>
            </w:r>
          </w:p>
        </w:tc>
        <w:tc>
          <w:tcPr>
            <w:tcW w:type="dxa" w:w="7202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应完成的核对</w:t>
            </w:r>
          </w:p>
        </w:tc>
      </w:tr>
      <w:tr>
        <w:trPr>
          <w:cantSplit/>
        </w:trPr>
        <w:tc>
          <w:tcPr>
            <w:tcW w:type="dxa" w:w="2152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部署管理员</w:t>
            </w:r>
          </w:p>
        </w:tc>
        <w:tc>
          <w:tcPr>
            <w:tcW w:type="dxa" w:w="7202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服务地址可达 数据与制品持久化 HTTPS和备份落实</w:t>
            </w:r>
          </w:p>
        </w:tc>
      </w:tr>
      <w:tr>
        <w:trPr>
          <w:cantSplit/>
        </w:trPr>
        <w:tc>
          <w:tcPr>
            <w:tcW w:type="dxa" w:w="2152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后台管理员</w:t>
            </w:r>
          </w:p>
        </w:tc>
        <w:tc>
          <w:tcPr>
            <w:tcW w:type="dxa" w:w="7202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成员归属正确 加入码有效 管理权限明确</w:t>
            </w:r>
          </w:p>
        </w:tc>
      </w:tr>
      <w:tr>
        <w:trPr>
          <w:cantSplit/>
        </w:trPr>
        <w:tc>
          <w:tcPr>
            <w:tcW w:type="dxa" w:w="2152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资源管理员</w:t>
            </w:r>
          </w:p>
        </w:tc>
        <w:tc>
          <w:tcPr>
            <w:tcW w:type="dxa" w:w="7202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版本审核通过 授权范围准确 下架后新下载被拒绝</w:t>
            </w:r>
          </w:p>
        </w:tc>
      </w:tr>
      <w:tr>
        <w:trPr>
          <w:cantSplit/>
        </w:trPr>
        <w:tc>
          <w:tcPr>
            <w:tcW w:type="dxa" w:w="2152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企业员工</w:t>
            </w:r>
          </w:p>
        </w:tc>
        <w:tc>
          <w:tcPr>
            <w:tcW w:type="dxa" w:w="7202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登录和加入成功 仅可见获授权资源 Work中可以安装使用</w:t>
            </w:r>
          </w:p>
        </w:tc>
      </w:tr>
    </w:tbl>
    <w:p>
      <w:pPr>
        <w:widowControl/>
        <w:snapToGrid w:val="0"/>
        <w:spacing w:after="20"/>
      </w:pPr>
    </w:p>
    <w:p>
      <w:pPr>
        <w:widowControl/>
        <w:snapToGrid w:val="0"/>
      </w:pPr>
      <w:r>
        <w:t>完整协同任务见生态指南第三章和第 4.2 节“团队共享模板与插件”。通过 OS 部署时，服务安装与网络配置按 OS 手册第四章“企业后台与权限总控”操作。</w:t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12" w:name="formal_enterprise_013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附录 A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产品能力与使用范围</w:t>
      </w:r>
      <w:bookmarkEnd w:id="20012"/>
    </w:p>
    <w:p>
      <w:pPr>
        <w:widowControl/>
        <w:snapToGrid w:val="0"/>
        <w:spacing w:line="340" w:lineRule="exact" w:after="80"/>
      </w:pPr>
      <w:r>
        <w:t>本附录保留原项目指南中的产品能力说明，帮助核对功能范围与部署条件。引用编号统一对应生态指南第六章的资料索引。</w:t>
      </w:r>
    </w:p>
    <w:p>
      <w:pPr>
        <w:widowControl/>
        <w:snapToGrid w:val="0"/>
        <w:spacing w:line="340" w:lineRule="exact" w:after="80"/>
      </w:pPr>
      <w:r>
        <w:t>iPollo Enterprise Server 是客户私有部署的成员与资源服务，独立于 Work 发布。它保存企业成员、部门、授权、资源、审核与审计资料；Work 通过企业连接器读取这些信息，模板和插件的实际使用继续发生在客户端。[3] [4]</w:t>
      </w:r>
    </w:p>
    <w:p>
      <w:pPr>
        <w:pStyle w:val="Heading2"/>
        <w:keepNext/>
        <w:widowControl/>
        <w:snapToGrid w:val="0"/>
        <w:jc w:val="left"/>
      </w:pPr>
      <w:bookmarkStart w:id="20013" w:name="formal_enterprise_014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成员与部门组织</w:t>
      </w:r>
      <w:bookmarkEnd w:id="20013"/>
    </w:p>
    <w:p>
      <w:pPr>
        <w:widowControl/>
        <w:snapToGrid w:val="0"/>
        <w:spacing w:line="340" w:lineRule="exact" w:after="80"/>
      </w:pPr>
      <w:r>
        <w:t>支持邮箱待加入成员、成员状态与角色、部门树维护，以及按部门和角色组合筛选人员。成员加入时关联 iPollo Account 身份；部门授权可继承下级。删除叶子部门时保留成员并清理相关归属，离开企业时收回个人授权和部门关联。</w:t>
      </w:r>
    </w:p>
    <w:p>
      <w:pPr>
        <w:pStyle w:val="Heading2"/>
        <w:keepNext/>
        <w:widowControl/>
        <w:snapToGrid w:val="0"/>
        <w:jc w:val="left"/>
      </w:pPr>
      <w:bookmarkStart w:id="20014" w:name="formal_enterprise_015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企业加入与身份会话</w:t>
      </w:r>
      <w:bookmarkEnd w:id="20014"/>
    </w:p>
    <w:p>
      <w:pPr>
        <w:widowControl/>
        <w:snapToGrid w:val="0"/>
        <w:spacing w:line="340" w:lineRule="exact" w:after="80"/>
      </w:pPr>
      <w:r>
        <w:t>管理员生成、复制和轮换企业加入码，成员在 Work 填写企业地址与加入码。服务端验证短期账号身份令牌后签发本企业独立 Session。加入码用于发起加入流程，资源请求凭企业 Session 核验当前成员状态与权限。</w:t>
      </w:r>
    </w:p>
    <w:p>
      <w:pPr>
        <w:pStyle w:val="Heading2"/>
        <w:keepNext/>
        <w:widowControl/>
        <w:snapToGrid w:val="0"/>
        <w:jc w:val="left"/>
      </w:pPr>
      <w:bookmarkStart w:id="20015" w:name="formal_enterprise_016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A.3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角色与职责分工</w:t>
      </w:r>
      <w:bookmarkEnd w:id="20015"/>
    </w:p>
    <w:p>
      <w:pPr>
        <w:widowControl/>
        <w:snapToGrid w:val="0"/>
        <w:spacing w:line="340" w:lineRule="exact" w:after="80"/>
      </w:pPr>
      <w:r>
        <w:t>支持总管理员及模板、插件等专项管理职责；与 OS 集成时还可使用技能管理和空间职责。专项管理员只管理授权范围内的业务资源，普通成员按资源授权使用。部署后台登录账号与成员角色分别管理，赋予业务管理员角色不会自动授予后台超管登录资格。</w:t>
      </w:r>
    </w:p>
    <w:p>
      <w:pPr>
        <w:pStyle w:val="Heading2"/>
        <w:keepNext/>
        <w:widowControl/>
        <w:snapToGrid w:val="0"/>
        <w:jc w:val="left"/>
      </w:pPr>
      <w:bookmarkStart w:id="20016" w:name="formal_enterprise_017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A.4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资源级访问控制</w:t>
      </w:r>
      <w:bookmarkEnd w:id="20016"/>
    </w:p>
    <w:p>
      <w:pPr>
        <w:widowControl/>
        <w:snapToGrid w:val="0"/>
        <w:spacing w:line="340" w:lineRule="exact" w:after="80"/>
      </w:pPr>
      <w:r>
        <w:t>模板、插件和技能可按全员、指定成员、部门或管理员范围分配。列表与制品下载执行一致的权限规则，避免仅隐藏界面仍能直接下载。权限更新带版本校验，减少多人同时编辑造成的覆盖；资源下架保留历史，重新上架沿用管理规则。</w:t>
      </w:r>
    </w:p>
    <w:p>
      <w:pPr>
        <w:pStyle w:val="Heading2"/>
        <w:keepNext/>
        <w:widowControl/>
        <w:snapToGrid w:val="0"/>
        <w:jc w:val="left"/>
      </w:pPr>
      <w:bookmarkStart w:id="20017" w:name="formal_enterprise_018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A.5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品牌与企业入口</w:t>
      </w:r>
      <w:bookmarkEnd w:id="20017"/>
    </w:p>
    <w:p>
      <w:pPr>
        <w:widowControl/>
        <w:snapToGrid w:val="0"/>
        <w:spacing w:line="340" w:lineRule="exact" w:after="80"/>
      </w:pPr>
      <w:r>
        <w:t>管理企业名称、图标和受限导航配置，并通过轻量 Client Manifest 向 Work 发布。企业可维护业务分类和品牌信息，使员工识别资源来源。品牌展示范围依客户端槽位及许可约定，不等同于取得整个 Work 产品换牌授权。</w:t>
      </w:r>
    </w:p>
    <w:p>
      <w:pPr>
        <w:pStyle w:val="Heading2"/>
        <w:keepNext/>
        <w:widowControl/>
        <w:snapToGrid w:val="0"/>
        <w:jc w:val="left"/>
      </w:pPr>
      <w:bookmarkStart w:id="20018" w:name="formal_enterprise_019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A.6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治理资料的存放位置</w:t>
      </w:r>
      <w:bookmarkEnd w:id="20018"/>
    </w:p>
    <w:p>
      <w:pPr>
        <w:widowControl/>
        <w:snapToGrid w:val="0"/>
        <w:spacing w:line="340" w:lineRule="exact" w:after="80"/>
      </w:pPr>
      <w:r>
        <w:t>独立服务采用一套应用、一套 PostgreSQL 和持久化制品存储。企业服务自己持有成员和资源记录；企业服务、数据库和存储的备份由部署方落实。</w:t>
      </w:r>
    </w:p>
    <w:p>
      <w:pPr>
        <w:pStyle w:val="Heading2"/>
        <w:keepNext/>
        <w:widowControl/>
        <w:snapToGrid w:val="0"/>
        <w:jc w:val="left"/>
      </w:pPr>
      <w:bookmarkStart w:id="20019" w:name="formal_enterprise_020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A.7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企业资源协作与部署方式</w:t>
      </w:r>
      <w:bookmarkEnd w:id="20019"/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20" w:name="formal_enterprise_021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A.7.1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模板版本与投稿审核</w:t>
      </w:r>
      <w:bookmarkEnd w:id="20020"/>
    </w:p>
    <w:p>
      <w:pPr>
        <w:widowControl/>
        <w:snapToGrid w:val="0"/>
        <w:spacing w:line="340" w:lineRule="exact" w:after="80"/>
      </w:pPr>
      <w:r>
        <w:t>Work 用户可从个人模板向企业投稿 .ipwp 包，兼容 .ipwt。Enterprise 校验包结构和摘要，保存不可变版本并进入审核。相同版本和摘要的重试按幂等处理；相同版本但内容不同会冲突。新版本待审核时，原有已发布版本继续可用。[3] [4]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21" w:name="formal_enterprise_022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A.7.2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插件与技能分发</w:t>
      </w:r>
      <w:bookmarkEnd w:id="20021"/>
    </w:p>
    <w:p>
      <w:pPr>
        <w:widowControl/>
        <w:snapToGrid w:val="0"/>
        <w:spacing w:line="340" w:lineRule="exact" w:after="80"/>
      </w:pPr>
      <w:r>
        <w:t>插件使用 .ipollowork-plugin 制品，技能使用对应技能包或受支持的内容格式。企业端负责接收、检查、审核、授权和受控下载；插件本身在 Work 安装和运行。版本、来源和摘要供客户端校验，企业服务器不代替客户端执行插件。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22" w:name="formal_enterprise_023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A.7.3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按需下载与资源分类</w:t>
      </w:r>
      <w:bookmarkEnd w:id="20022"/>
    </w:p>
    <w:p>
      <w:pPr>
        <w:widowControl/>
        <w:snapToGrid w:val="0"/>
        <w:spacing w:line="340" w:lineRule="exact" w:after="80"/>
      </w:pPr>
      <w:r>
        <w:t>企业分类用于组织、筛选与展示资源，平台大类决定模板进入何种创作界面。成员先读取有权限的分页元数据，明确使用或安装时才下载制品。个人、本地和企业资源保留各自身份，便于升级和追踪来源。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23" w:name="formal_enterprise_024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A.7.4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会话快照分享</w:t>
      </w:r>
      <w:bookmarkEnd w:id="20023"/>
    </w:p>
    <w:p>
      <w:pPr>
        <w:widowControl/>
        <w:snapToGrid w:val="0"/>
        <w:spacing w:line="340" w:lineRule="exact" w:after="80"/>
      </w:pPr>
      <w:r>
        <w:t>用户可以主动分享 Markdown 会话快照，服务端保存快照并提供已读、接收、忽略等独立回执，也可撤回分享。快照协作用于移交资料和阅读反馈，不包含本地项目目录同步、实时共同编辑或持续会话的完整运行状态。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24" w:name="formal_enterprise_025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A.7.5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独立私有部署</w:t>
      </w:r>
      <w:bookmarkEnd w:id="20024"/>
    </w:p>
    <w:p>
      <w:pPr>
        <w:widowControl/>
        <w:snapToGrid w:val="0"/>
        <w:spacing w:line="340" w:lineRule="exact" w:after="80"/>
      </w:pPr>
      <w:r>
        <w:t>可通过 Docker 部署 standalone 企业服务，配套 PostgreSQL、HTTPS 和持久化制品卷；需要对象存储时使用相应适配层。员工电脑必须能访问企业地址，企业服务需要访问所配置的账号服务完成新的身份验证。该方案适合需要长期在线和独立运维的企业资源服务。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25" w:name="formal_enterprise_026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A.7.6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由 iPolloOS 提供管理能力</w:t>
      </w:r>
      <w:bookmarkEnd w:id="20025"/>
    </w:p>
    <w:p>
      <w:pPr>
        <w:widowControl/>
        <w:snapToGrid w:val="0"/>
        <w:spacing w:line="340" w:lineRule="exact" w:after="80"/>
      </w:pPr>
      <w:r>
        <w:t>当前 OS 从应用与集群部署独立企业后台，复用 Enterprise 领域代码与 PGlite，数据库由该服务进程持有。桌面只负责连接和管理，不在自身进程中打开同一数据库。本机以独立进程运行，Linux 服务器以独立 systemd 服务运行；既有 PostgreSQL 企业服务保留原部署。[6] [11]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26" w:name="formal_enterprise_027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A.7.7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迁移与当前范围</w:t>
      </w:r>
      <w:bookmarkEnd w:id="20026"/>
    </w:p>
    <w:p>
      <w:pPr>
        <w:widowControl/>
        <w:snapToGrid w:val="0"/>
        <w:spacing w:line="340" w:lineRule="exact" w:after="80"/>
      </w:pPr>
      <w:r>
        <w:t>嵌入式资料可导出迁移包，向空白云端目标校验身份、表结构和文件摘要后导入，保留成员与资源身份。第一版身份路径围绕 iPollo Account 建设；SAML、LDAP、AD、SCIM、完整企业 SSO、企业远程工作区和项目文件自动同步均不属于当前完整交付范围。</w:t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27" w:name="formal_enterprise_028"/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资料依据与使用边界</w:t>
      </w:r>
      <w:bookmarkEnd w:id="20027"/>
    </w:p>
    <w:p>
      <w:pPr>
        <w:keepNext/>
        <w:widowControl/>
        <w:snapToGrid w:val="0"/>
      </w:pPr>
      <w:r>
        <w:t>本册整合《iPollo项目清单与功能使用指南》和 iPollo Enterprise Server 本地项目说明。企业接入相关内容同时依据《企业功能使用教程》；截图在 2026 年 11 月 2 日采集。</w:t>
      </w:r>
    </w:p>
    <w:p>
      <w:pPr>
        <w:keepNext/>
        <w:widowControl/>
        <w:snapToGrid w:val="0"/>
      </w:pPr>
      <w:r>
        <w:t>涉及安装、部署、模型调用、支付、成员权限和外部发布时，应使用目标版本并核对实际结果。开发版、待开放及依赖外部账号的能力按页面提示使用；操作入口可见不自动代表整条业务链路已完成验收。</w:t>
      </w:r>
    </w:p>
    <w:p>
      <w:pPr>
        <w:widowControl/>
        <w:snapToGrid w:val="0"/>
      </w:pPr>
      <w:r>
        <w:t>遇到问题时记录软件版本、所在页面、操作步骤、预期结果和实际提示，保留已产生的文件与任务记录；反馈前移除密钥、口令和客户资料。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417" w:header="851" w:footer="567" w:gutter="0"/>
      <w:cols w:space="72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4677" w:val="center"/>
      </w:tabs>
    </w:pPr>
    <w:r>
      <w:rPr>
        <w:rFonts w:ascii="Segoe UI" w:hAnsi="Segoe UI" w:eastAsia="Microsoft YaHei" w:cs="Segoe UI"/>
        <w:sz w:val="16"/>
        <w:szCs w:val="16"/>
        <w:b w:val="0"/>
        <w:bCs w:val="0"/>
        <w:color w:val="5A6774"/>
        <w:i w:val="0"/>
        <w:iCs w:val="0"/>
      </w:rPr>
      <w:t>IP-ENTERPRISE</w:t>
      <w:tab/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fldChar w:fldCharType="begin"/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instrText xml:space="preserve"> PAGE </w:instrText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fldChar w:fldCharType="separate"/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t>1</w:t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355" w:type="dxa"/>
      <w:jc w:val="center"/>
      <w:tblInd w:w="0" w:type="dxa"/>
      <w:tblBorders>
        <w:top w:val="nil"/>
        <w:left w:val="nil"/>
        <w:right w:val="nil"/>
        <w:insideH w:val="nil"/>
        <w:insideV w:val="nil"/>
        <w:bottom w:val="single" w:sz="4" w:color="BED4E0"/>
      </w:tblBorders>
      <w:tblLayout w:type="fixed"/>
      <w:tblCellMar>
        <w:top w:w="40" w:type="dxa"/>
        <w:bottom w:w="60" w:type="dxa"/>
        <w:left w:w="0" w:type="dxa"/>
        <w:right w:w="0" w:type="dxa"/>
      </w:tblCellMar>
    </w:tblPr>
    <w:tblGrid>
      <w:gridCol w:w="1701"/>
      <w:gridCol w:w="7654"/>
    </w:tblGrid>
    <w:tr>
      <w:tc>
        <w:tcPr>
          <w:tcW w:w="1701" w:type="dxa"/>
          <w:vAlign w:val="center"/>
        </w:tcPr>
        <w:p>
          <w:pPr>
            <w:spacing w:before="0" w:after="0" w:line="436" w:lineRule="atLeast"/>
            <w:ind w:left="0" w:right="0" w:firstLine="0"/>
            <w:jc w:val="left"/>
          </w:pPr>
          <w:r>
            <w:rPr>
              <w:rFonts w:ascii="Segoe UI" w:hAnsi="Segoe UI" w:eastAsia="Microsoft YaHei" w:cs="Segoe UI"/>
              <w:sz w:val="16"/>
              <w:szCs w:val="16"/>
              <w:b w:val="0"/>
              <w:bCs w:val="0"/>
              <w:color w:val="5A6774"/>
              <w:i w:val="0"/>
              <w:iCs w:val="0"/>
            </w:rPr>
            <w:drawing>
              <wp:inline xmlns:a="http://schemas.openxmlformats.org/drawingml/2006/main" xmlns:pic="http://schemas.openxmlformats.org/drawingml/2006/picture">
                <wp:extent cx="630000" cy="1953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000" cy="1953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vAlign w:val="center"/>
        </w:tcPr>
        <w:p>
          <w:pPr>
            <w:spacing w:before="0" w:after="0" w:line="436" w:lineRule="atLeast"/>
            <w:ind w:left="0" w:right="0" w:firstLine="0"/>
            <w:jc w:val="right"/>
          </w:pPr>
          <w:r>
            <w:rPr>
              <w:rFonts w:ascii="Segoe UI" w:hAnsi="Segoe UI" w:eastAsia="Microsoft YaHei"/>
              <w:color w:val="5A6774"/>
              <w:sz w:val="16"/>
            </w:rPr>
            <w:t>Enterprise 企业功能手册</w:t>
          </w:r>
        </w:p>
      </w:tc>
    </w:tr>
  </w:tbl>
  <w:p>
    <w:pPr>
      <w:spacing w:before="0" w:after="0" w:line="20" w:lineRule="exact"/>
      <w:rPr>
        <w:sz w:val="2"/>
      </w:rP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 w:val="0"/>
      <w:widowControl/>
      <w:spacing w:before="0" w:after="120" w:line="360" w:lineRule="exact"/>
      <w:ind w:left="0" w:right="0" w:firstLine="0"/>
      <w:snapToGrid w:val="0"/>
    </w:pPr>
    <w:rPr>
      <w:rFonts w:ascii="Segoe UI" w:hAnsi="Segoe UI" w:eastAsia="Microsoft YaHei" w:cs="Segoe UI"/>
      <w:sz w:val="22"/>
      <w:szCs w:val="22"/>
      <w:color w:val="161E24"/>
      <w:b w:val="0"/>
      <w:bCs w:val="0"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i w:val="0"/>
      <w:iCs w:val="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i w:val="0"/>
      <w:iCs w:val="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 w:val="0"/>
      <w:widowControl/>
      <w:spacing w:before="240" w:after="280" w:line="560" w:lineRule="exact"/>
      <w:ind w:left="0" w:right="0" w:firstLine="0"/>
      <w:outlineLvl w:val="0"/>
      <w:snapToGrid w:val="0"/>
    </w:pPr>
    <w:rPr>
      <w:rFonts w:ascii="Segoe UI" w:hAnsi="Segoe UI" w:eastAsia="Microsoft YaHei" w:cs="Segoe UI"/>
      <w:b w:val="1"/>
      <w:bCs w:val="1"/>
      <w:color w:val="000000"/>
      <w:sz w:val="36"/>
      <w:szCs w:val="36"/>
      <w:i w:val="0"/>
      <w:iCs w:val="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 w:val="0"/>
      <w:widowControl/>
      <w:spacing w:before="240" w:after="160" w:line="420" w:lineRule="exact"/>
      <w:ind w:left="0" w:right="0" w:firstLine="0"/>
      <w:outlineLvl w:val="1"/>
      <w:snapToGrid w:val="0"/>
    </w:pPr>
    <w:rPr>
      <w:rFonts w:ascii="Segoe UI" w:hAnsi="Segoe UI" w:eastAsia="Microsoft YaHei" w:cs="Segoe UI"/>
      <w:b w:val="1"/>
      <w:bCs w:val="1"/>
      <w:color w:val="000000"/>
      <w:sz w:val="27"/>
      <w:szCs w:val="27"/>
      <w:i w:val="0"/>
      <w:iCs w:val="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 w:val="0"/>
      <w:widowControl/>
      <w:spacing w:before="200" w:after="120" w:line="380" w:lineRule="exact"/>
      <w:ind w:left="0" w:right="0" w:firstLine="0"/>
      <w:outlineLvl w:val="2"/>
      <w:snapToGrid w:val="0"/>
    </w:pPr>
    <w:rPr>
      <w:rFonts w:ascii="Segoe UI" w:hAnsi="Segoe UI" w:eastAsia="Microsoft YaHei" w:cs="Segoe UI"/>
      <w:b w:val="1"/>
      <w:bCs w:val="1"/>
      <w:color w:val="000000"/>
      <w:sz w:val="23"/>
      <w:szCs w:val="23"/>
      <w:i w:val="0"/>
      <w:i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i w:val="0"/>
      <w:iCs w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 w:val="0"/>
      <w:iCs w:val="0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 w:val="0"/>
      <w:iCs w:val="0"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i w:val="0"/>
      <w:iCs w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 w:val="0"/>
      <w:iCs w:val="0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i w:val="0"/>
      <w:iCs w:val="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 w:val="0"/>
      <w:widowControl/>
      <w:spacing w:after="280" w:line="800" w:lineRule="exact" w:before="0"/>
      <w:ind w:left="0" w:right="0" w:firstLine="0"/>
      <w:contextualSpacing/>
      <w:snapToGrid w:val="0"/>
    </w:pPr>
    <w:rPr>
      <w:rFonts w:ascii="Segoe UI" w:hAnsi="Segoe UI" w:eastAsia="Microsoft YaHei" w:cs="Segoe UI"/>
      <w:color w:val="000000"/>
      <w:spacing w:val="5"/>
      <w:kern w:val="28"/>
      <w:sz w:val="56"/>
      <w:szCs w:val="56"/>
      <w:b w:val="1"/>
      <w:bCs w:val="1"/>
      <w:i w:val="0"/>
      <w:iCs w:val="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 w:val="0"/>
      <w:widowControl/>
      <w:numPr>
        <w:ilvl w:val="1"/>
      </w:numPr>
      <w:spacing w:before="0" w:after="240" w:line="400" w:lineRule="exact"/>
      <w:ind w:left="0" w:right="0" w:firstLine="0"/>
      <w:snapToGrid w:val="0"/>
    </w:pPr>
    <w:rPr>
      <w:rFonts w:ascii="Segoe UI" w:hAnsi="Segoe UI" w:eastAsia="Microsoft YaHei" w:cs="Segoe UI"/>
      <w:i w:val="0"/>
      <w:iCs w:val="0"/>
      <w:color w:val="000000"/>
      <w:spacing w:val="15"/>
      <w:sz w:val="24"/>
      <w:szCs w:val="24"/>
      <w:b w:val="0"/>
      <w:bCs w:val="0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i w:val="0"/>
      <w:iCs w:val="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i w:val="0"/>
      <w:iCs w:val="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i w:val="0"/>
      <w:iCs w:val="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i w:val="0"/>
      <w:iCs w:val="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i w:val="0"/>
      <w:iCs w:val="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i w:val="0"/>
      <w:iCs w:val="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i w:val="0"/>
      <w:iCs w:val="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i w:val="0"/>
      <w:iCs w:val="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i w:val="0"/>
      <w:iCs w:val="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i w:val="0"/>
      <w:iCs w:val="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i w:val="0"/>
      <w:iCs w:val="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i w:val="0"/>
      <w:iCs w:val="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i w:val="0"/>
      <w:iCs w:val="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i w:val="0"/>
      <w:iCs w:val="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i w:val="0"/>
      <w:iCs w:val="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i w:val="0"/>
      <w:iCs w:val="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i w:val="0"/>
      <w:iCs w:val="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 w:val="0"/>
      <w:iCs w:val="0"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i w:val="0"/>
      <w:iCs w:val="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 w:val="0"/>
      <w:iCs w:val="0"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i w:val="0"/>
      <w:iCs w:val="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PolloCaption">
    <w:name w:val="iPollo Caption"/>
    <w:pPr>
      <w:keepNext w:val="0"/>
      <w:keepLines w:val="0"/>
      <w:widowControl/>
      <w:spacing w:before="100" w:after="140" w:line="280" w:lineRule="exact"/>
      <w:ind w:left="0" w:right="0" w:firstLine="0"/>
      <w:snapToGrid w:val="0"/>
    </w:pPr>
    <w:rPr>
      <w:rFonts w:ascii="Segoe UI" w:hAnsi="Segoe UI" w:eastAsia="Microsoft YaHei" w:cs="Segoe UI"/>
      <w:sz w:val="18"/>
      <w:szCs w:val="18"/>
      <w:color w:val="5A6774"/>
      <w:b w:val="0"/>
      <w:bCs w:val="0"/>
      <w:i w:val="0"/>
      <w:iCs w:val="0"/>
    </w:rPr>
  </w:style>
  <w:style w:type="paragraph" w:customStyle="1" w:styleId="iPolloMetadata">
    <w:name w:val="iPollo Metadata"/>
    <w:pPr>
      <w:keepNext w:val="0"/>
      <w:keepLines w:val="0"/>
      <w:widowControl/>
      <w:spacing w:before="0" w:after="180" w:line="300" w:lineRule="exact"/>
      <w:ind w:left="0" w:right="0" w:firstLine="0"/>
      <w:snapToGrid w:val="0"/>
    </w:pPr>
    <w:rPr>
      <w:rFonts w:ascii="Segoe UI" w:hAnsi="Segoe UI" w:eastAsia="Microsoft YaHei" w:cs="Segoe UI"/>
      <w:sz w:val="18"/>
      <w:szCs w:val="18"/>
      <w:color w:val="5A6774"/>
      <w:b w:val="0"/>
      <w:bCs w:val="0"/>
      <w:i w:val="0"/>
      <w:iCs w:val="0"/>
    </w:rPr>
  </w:style>
  <w:style w:type="paragraph" w:customStyle="1" w:styleId="iPolloTOC">
    <w:name w:val="iPollo TOC"/>
    <w:pPr>
      <w:keepNext w:val="0"/>
      <w:keepLines w:val="0"/>
      <w:widowControl/>
      <w:spacing w:before="0" w:after="80" w:line="320" w:lineRule="exact"/>
      <w:ind w:left="0" w:right="0" w:firstLine="0"/>
      <w:snapToGrid w:val="0"/>
    </w:pPr>
    <w:rPr>
      <w:rFonts w:ascii="Segoe UI" w:hAnsi="Segoe UI" w:eastAsia="Microsoft YaHei" w:cs="Segoe UI"/>
      <w:sz w:val="20"/>
      <w:szCs w:val="20"/>
      <w:color w:val="161E24"/>
      <w:b w:val="0"/>
      <w:bCs w:val="0"/>
      <w:i w:val="0"/>
      <w:iCs w:val="0"/>
    </w:rPr>
  </w:style>
  <w:style w:type="paragraph" w:customStyle="1" w:styleId="FigureGuide">
    <w:name w:val="Figure Guide"/>
    <w:pPr>
      <w:keepLines w:val="0"/>
      <w:widowControl/>
      <w:spacing w:before="0" w:after="240" w:line="300" w:lineRule="exact"/>
    </w:pPr>
    <w:rPr>
      <w:rFonts w:ascii="Segoe UI" w:hAnsi="Segoe UI" w:eastAsia="Microsoft YaHei" w:cs="Segoe UI"/>
      <w:sz w:val="19"/>
      <w:szCs w:val="19"/>
      <w:b w:val="0"/>
      <w:bCs w:val="0"/>
      <w:color w:val="5A6774"/>
      <w:i w:val="0"/>
      <w:iCs w:val="0"/>
    </w:rPr>
  </w:style>
  <w:style w:type="paragraph" w:customStyle="1" w:styleId="CoverEyebrow">
    <w:name w:val="Cover Eyebrow"/>
    <w:pPr>
      <w:keepLines w:val="0"/>
      <w:widowControl/>
      <w:spacing w:before="0" w:after="280" w:line="320" w:lineRule="exact"/>
    </w:pPr>
    <w:rPr>
      <w:rFonts w:ascii="Segoe UI" w:hAnsi="Segoe UI" w:eastAsia="Microsoft YaHei" w:cs="Segoe UI"/>
      <w:sz w:val="18"/>
      <w:szCs w:val="18"/>
      <w:b w:val="0"/>
      <w:bCs w:val="0"/>
      <w:color w:val="5A6774"/>
      <w:i w:val="0"/>
      <w:iCs w:val="0"/>
    </w:rPr>
  </w:style>
  <w:style w:type="paragraph" w:customStyle="1" w:styleId="FrontTitle">
    <w:name w:val="Front Title"/>
    <w:pPr>
      <w:widowControl/>
      <w:spacing w:before="0" w:after="440" w:line="600" w:lineRule="exact"/>
      <w:ind w:firstLine="0" w:left="0" w:right="0"/>
    </w:pPr>
    <w:rPr>
      <w:rFonts w:ascii="Segoe UI" w:hAnsi="Segoe UI" w:eastAsia="Microsoft YaHei" w:cs="Segoe UI"/>
      <w:sz w:val="40"/>
      <w:szCs w:val="40"/>
      <w:b w:val="1"/>
      <w:bCs w:val="1"/>
      <w:color w:val="000000"/>
      <w:i w:val="0"/>
      <w:iCs w:val="0"/>
    </w:rPr>
  </w:style>
  <w:style w:type="paragraph" w:customStyle="1" w:styleId="AbstractBody">
    <w:name w:val="Abstract Body"/>
    <w:pPr>
      <w:widowControl/>
      <w:spacing w:before="0" w:after="160" w:line="400" w:lineRule="exact"/>
      <w:ind w:firstLine="0" w:left="0" w:right="0"/>
    </w:pPr>
    <w:rPr>
      <w:rFonts w:ascii="Segoe UI" w:hAnsi="Segoe UI" w:eastAsia="Microsoft YaHei" w:cs="Segoe UI"/>
      <w:sz w:val="22"/>
      <w:szCs w:val="22"/>
      <w:b w:val="0"/>
      <w:bCs w:val="0"/>
      <w:color w:val="161E24"/>
      <w:i w:val="0"/>
      <w:iCs w:val="0"/>
    </w:rPr>
  </w:style>
  <w:style w:type="paragraph" w:customStyle="1" w:styleId="FrontMetadata">
    <w:name w:val="Front Metadata"/>
    <w:pPr>
      <w:widowControl/>
      <w:spacing w:before="0" w:after="180" w:line="340" w:lineRule="exact"/>
      <w:ind w:firstLine="0" w:left="0" w:right="0"/>
    </w:pPr>
    <w:rPr>
      <w:rFonts w:ascii="Segoe UI" w:hAnsi="Segoe UI" w:eastAsia="Microsoft YaHei" w:cs="Segoe UI"/>
      <w:sz w:val="20"/>
      <w:szCs w:val="20"/>
      <w:b w:val="0"/>
      <w:bCs w:val="0"/>
      <w:color w:val="5A6774"/>
      <w:i w:val="0"/>
      <w:iCs w:val="0"/>
    </w:rPr>
  </w:style>
  <w:style w:type="paragraph" w:customStyle="1" w:styleId="TOC1">
    <w:name w:val="TOC 1"/>
    <w:pPr>
      <w:widowControl/>
      <w:spacing w:before="160" w:after="60" w:line="320" w:lineRule="exact"/>
      <w:ind w:firstLine="0" w:left="0" w:right="0"/>
    </w:pPr>
    <w:rPr>
      <w:rFonts w:ascii="Segoe UI" w:hAnsi="Segoe UI" w:eastAsia="Microsoft YaHei" w:cs="Segoe UI"/>
      <w:sz w:val="22"/>
      <w:szCs w:val="22"/>
      <w:b w:val="1"/>
      <w:bCs w:val="1"/>
      <w:color w:val="177D83"/>
      <w:i w:val="0"/>
      <w:iCs w:val="0"/>
    </w:rPr>
  </w:style>
  <w:style w:type="paragraph" w:customStyle="1" w:styleId="TOC2">
    <w:name w:val="TOC 2"/>
    <w:pPr>
      <w:widowControl/>
      <w:spacing w:before="0" w:after="60" w:line="320" w:lineRule="exact"/>
      <w:ind w:firstLine="0" w:left="0" w:right="0"/>
    </w:pPr>
    <w:rPr>
      <w:rFonts w:ascii="Segoe UI" w:hAnsi="Segoe UI" w:eastAsia="Microsoft YaHei" w:cs="Segoe UI"/>
      <w:sz w:val="21"/>
      <w:szCs w:val="21"/>
      <w:b w:val="0"/>
      <w:bCs w:val="0"/>
      <w:color w:val="161E24"/>
      <w:i w:val="0"/>
      <w:iCs w:val="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iPollo Enterprise Server 企业功能使用手册</dc:title>
  <dc:subject>iPollo 产品文档体系</dc:subject>
  <dc:creator>iPollo</dc:creator>
  <cp:keywords>iPollo 功能使用 协同 教程</cp:keywords>
  <dc:description>generated by python-docx</dc:description>
  <cp:lastModifiedBy>iPollo</cp:lastModifiedBy>
  <cp:revision>4</cp:revision>
  <dcterms:created xsi:type="dcterms:W3CDTF">2013-12-23T23:15:00Z</dcterms:created>
  <dcterms:modified xsi:type="dcterms:W3CDTF">2013-12-23T23:15:00Z</dcterms:modified>
  <cp:category/>
</cp:coreProperties>
</file>