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80"/>
        <w:jc w:val="center"/>
      </w:pPr>
      <w:r>
        <w:drawing>
          <wp:inline xmlns:a="http://schemas.openxmlformats.org/drawingml/2006/main" xmlns:pic="http://schemas.openxmlformats.org/drawingml/2006/picture">
            <wp:extent cx="1260000" cy="3906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9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spacing w:after="340"/>
        <w:jc w:val="center"/>
      </w:pPr>
      <w:r>
        <w:rPr>
          <w:rFonts w:ascii="Segoe UI" w:hAnsi="Segoe UI" w:eastAsia="Microsoft YaHei" w:cs="Segoe UI"/>
          <w:sz w:val="20"/>
          <w:szCs w:val="20"/>
          <w:b w:val="0"/>
          <w:bCs w:val="0"/>
          <w:color w:val="177D83"/>
          <w:i w:val="0"/>
          <w:iCs w:val="0"/>
        </w:rPr>
        <w:t>iPollo 产品文档  /  05</w:t>
      </w:r>
    </w:p>
    <w:p>
      <w:pPr>
        <w:pStyle w:val="Title"/>
        <w:jc w:val="center"/>
      </w:pPr>
      <w:r>
        <w:t>iPolloOS</w:t>
        <w:br/>
        <w:t>功能使用手册</w:t>
      </w:r>
    </w:p>
    <w:p>
      <w:pPr>
        <w:pStyle w:val="FrontMetadata"/>
        <w:spacing w:after="600"/>
        <w:jc w:val="center"/>
      </w:pPr>
      <w:r>
        <w:t>使用指南与操作参考</w:t>
      </w:r>
    </w:p>
    <w:p>
      <w:pPr>
        <w:spacing w:line="240" w:lineRule="auto" w:after="600"/>
        <w:jc w:val="center"/>
      </w:pPr>
      <w:r>
        <w:drawing>
          <wp:inline xmlns:a="http://schemas.openxmlformats.org/drawingml/2006/main" xmlns:pic="http://schemas.openxmlformats.org/drawingml/2006/picture">
            <wp:extent cx="5940000" cy="240428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04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jc w:val="center"/>
      </w:pPr>
      <w:r>
        <w:t>iPollo</w:t>
      </w:r>
    </w:p>
    <w:p>
      <w:pPr>
        <w:pStyle w:val="FrontMetadata"/>
        <w:jc w:val="center"/>
      </w:pPr>
      <w:r>
        <w:t>文档编号  IP-OS</w:t>
      </w:r>
    </w:p>
    <w:p>
      <w:pPr>
        <w:pStyle w:val="FrontMetadata"/>
        <w:jc w:val="center"/>
        <w:sectPr w:rsidR="00FC693F" w:rsidRPr="0006063C" w:rsidSect="00034616">
          <w:pgSz w:w="11906" w:h="16838"/>
          <w:pgMar w:top="1417" w:right="1134" w:bottom="1134" w:left="1417" w:header="851" w:footer="567" w:gutter="0"/>
          <w:cols w:space="720"/>
          <w:type w:val="nextPage"/>
        </w:sectPr>
      </w:pPr>
      <w:r>
        <w:t>2026 年 11 月 2 日</w:t>
      </w:r>
    </w:p>
    <w:p>
      <w:pPr>
        <w:pStyle w:val="FrontTitle"/>
        <w:pageBreakBefore w:val="1"/>
        <w:jc w:val="center"/>
      </w:pPr>
      <w:r>
        <w:t>摘  要</w:t>
      </w:r>
    </w:p>
    <w:p>
      <w:pPr>
        <w:pStyle w:val="AbstractBody"/>
        <w:ind w:firstLine="440"/>
        <w:jc w:val="both"/>
      </w:pPr>
      <w:r>
        <w:t>本手册面向 iPolloOS 的设备所有者、模型管理员以及部署与运维人员，说明设备、模型、统一 API、服务器和应用服务的使用方法，帮助读者区分本机、远程设备、模型入口与企业管理服务，并按目标环境逐项完成配置。</w:t>
      </w:r>
    </w:p>
    <w:p>
      <w:pPr>
        <w:pStyle w:val="AbstractBody"/>
        <w:ind w:firstLine="440"/>
        <w:jc w:val="both"/>
      </w:pPr>
      <w:r>
        <w:t>全书按本机设备与模型 API、服务器路由与跨机功能、应用部署与持续运维、企业后台与权限总控四个主题组织各项功能。各项功能配有实际入口截图、准备条件、操作步骤和完成标志，附录进一步说明模型规格、应用部署、网络接口与当前使用边界。</w:t>
      </w:r>
    </w:p>
    <w:p>
      <w:pPr>
        <w:pStyle w:val="AbstractBody"/>
        <w:ind w:firstLine="440"/>
        <w:jc w:val="both"/>
      </w:pPr>
      <w:r>
        <w:t>使用前应核对运行位置、硬件条件、网络可达性和管理权限。模型下载、服务器连接、应用发布及恢复均需要在目标设备验证；截图中展示的配置表单和安装前状态用于帮助定位功能，不代表相应模型推理或远程部署已经完成。</w:t>
      </w:r>
    </w:p>
    <w:p>
      <w:pPr>
        <w:pStyle w:val="AbstractBody"/>
        <w:spacing w:before="200" w:after="440"/>
      </w:pPr>
      <w:r>
        <w:rPr>
          <w:rFonts w:ascii="Segoe UI" w:hAnsi="Segoe UI" w:eastAsia="Microsoft YaHei" w:cs="Segoe UI"/>
          <w:sz w:val="22"/>
          <w:szCs w:val="22"/>
          <w:b w:val="1"/>
          <w:bCs w:val="1"/>
          <w:color w:val="177D83"/>
          <w:i w:val="0"/>
          <w:iCs w:val="0"/>
        </w:rPr>
        <w:t>关键词：</w:t>
      </w:r>
      <w:r>
        <w:t>iPolloOS；模型管理；统一 API；服务器；应用部署</w:t>
      </w:r>
    </w:p>
    <w:p>
      <w:pPr>
        <w:pStyle w:val="FrontMetadata"/>
        <w:spacing w:after="220"/>
      </w:pPr>
      <w:r>
        <w:t>适用读者  设备所有者、模型管理员、部署与运维人员</w:t>
      </w:r>
    </w:p>
    <w:p>
      <w:pPr>
        <w:pStyle w:val="FrontMetadata"/>
      </w:pPr>
      <w:r>
        <w:t>版本说明  操作界面采集于 2026 年 11 月 2 日。功能说明结合原项目指南与本地项目资料整理；实际能力以目标版本、权限和部署环境为准。</w:t>
      </w:r>
    </w:p>
    <w:p>
      <w:pPr>
        <w:pStyle w:val="FrontMetadata"/>
      </w:pPr>
      <w:r>
        <w:t>图示说明  截图聚焦操作入口与配置位置，图下注明关注点。模型调用、远程部署和外部服务的最终结果，需要在实际环境确认。</w:t>
      </w:r>
    </w:p>
    <w:p>
      <w:pPr>
        <w:pStyle w:val="FrontTitle"/>
        <w:pageBreakBefore w:val="1"/>
        <w:jc w:val="center"/>
      </w:pPr>
      <w:r>
        <w:t>目  录</w:t>
      </w:r>
    </w:p>
    <w:p>
      <w:pPr>
        <w:pStyle w:val="TOC1"/>
        <w:keepNext/>
        <w:tabs>
          <w:tab w:pos="9354" w:val="right" w:leader="dot"/>
        </w:tabs>
        <w:ind w:left="0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formal_os_001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1 章  本机设备模型与统一 API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formal_os_001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02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1.1  查看设备与选择运行位置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03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1.2  下载启用停止与模型配置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04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1.3  图片和视频模型任务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3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05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1.4  创建 API Key 与网络入口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4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06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1.5  向量媒体接口与计量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5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os_007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2 章  服务器路由与跨机功能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formal_os_007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08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2.1  通过 SSH 接入服务器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09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2.2  模型路由与多个完整副本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formal_os_009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7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0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2.3  CPU 双机与 GPU 跨机部署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formal_os_010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1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2.4  网络诊断与服务器可达性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formal_os_011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9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os_012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3 章  应用部署与持续运维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10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3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3.1  安装应用模板或公共镜像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10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4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3.2  从本地源码构建发布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5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3.3  环境变量健康检查与伸缩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6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3.4  日志预览启停与代码回退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13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os_017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4 章  企业后台与权限总控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formal_os_017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14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8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4.1  部署与使用企业后台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14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19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4.2  部署总控并分配管理职责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formal_os_019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15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0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4.3  成员模型授权与资源额度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formal_os_020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1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4.4  持久服务备份与恢复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formal_os_021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17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os_022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附录 A  产品能力与使用范围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3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A.1  设备检测与模型选择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4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A.2  本机模型生命周期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5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A.3  图片与视频模型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6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A.4  统一模型 API 与密钥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7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A.5  路由和完整模型副本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formal_os_027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8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A.6  远程设备与跨机模型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os_029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A.7  iPolloOS 应用部署与运行边界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formal_os_029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19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  <w:sectPr w:rsidR="00FC693F" w:rsidRPr="0006063C" w:rsidSect="0003461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417" w:header="851" w:footer="567" w:gutter="0"/>
          <w:cols w:space="720"/>
          <w:pgNumType w:fmt="upperRoman" w:start="1"/>
          <w:type w:val="nextPage"/>
        </w:sectPr>
      </w:pPr>
      <w:hyperlink w:anchor="formal_os_036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资料依据与使用边界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formal_os_036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20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  <w:r>
        <w:fldChar w:fldCharType="end"/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00" w:name="formal_os_001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1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本机设备模型与统一 API</w:t>
      </w:r>
      <w:bookmarkEnd w:id="20000"/>
    </w:p>
    <w:p>
      <w:pPr>
        <w:pStyle w:val="Heading2"/>
        <w:keepNext/>
        <w:pageBreakBefore w:val="0"/>
        <w:widowControl/>
        <w:snapToGrid w:val="0"/>
        <w:jc w:val="left"/>
      </w:pPr>
      <w:bookmarkStart w:id="20001" w:name="formal_os_00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查看设备与选择运行位置</w:t>
      </w:r>
      <w:bookmarkEnd w:id="20001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顶部本机或服务器选择器；硬件详情。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3" name="Picture 3" descr="确认运行位置与设备硬件。先确认本机或目标服务器，再根据实际硬件选模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over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01  确认运行位置与设备硬件</w:t>
      </w:r>
    </w:p>
    <w:p>
      <w:pPr>
        <w:pStyle w:val="FigureGuide"/>
        <w:widowControl/>
        <w:snapToGrid w:val="0"/>
      </w:pPr>
      <w:r>
        <w:t>先确认本机或目标服务器，再根据实际硬件选模型。</w:t>
      </w:r>
    </w:p>
    <w:p>
      <w:pPr>
        <w:widowControl/>
        <w:snapToGrid w:val="0"/>
        <w:spacing w:after="140"/>
        <w:ind w:left="312" w:hanging="312"/>
      </w:pPr>
      <w:r>
        <w:t>1. 先选择本机，查看 CPU、GPU、内存与磁盘；切到服务器时重新核对设备名称。</w:t>
      </w:r>
    </w:p>
    <w:p>
      <w:pPr>
        <w:widowControl/>
        <w:snapToGrid w:val="0"/>
        <w:spacing w:after="140"/>
        <w:ind w:left="312" w:hanging="312"/>
      </w:pPr>
      <w:r>
        <w:t>2. 打开硬件详情检查实际资源与驱动信息，按可用内存和显存选择模型规格。</w:t>
      </w:r>
    </w:p>
    <w:p>
      <w:pPr>
        <w:widowControl/>
        <w:snapToGrid w:val="0"/>
        <w:spacing w:after="140"/>
        <w:ind w:left="312" w:hanging="312"/>
      </w:pPr>
      <w:r>
        <w:t>3. 后续下载、启停与 Key 管理都先核对当前设备；切换设备不会自动迁移模型或数据。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当前操作位置明确，所选模型符合实际设备条件。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2" w:name="formal_os_00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下载启用停止与模型配置</w:t>
      </w:r>
      <w:bookmarkEnd w:id="20002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模型市场与模型详情；确保足够空间和网络。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395636" cy="3240000"/>
            <wp:docPr id="4" name="Picture 4" descr="筛选模型能力与规格。核对能力 内存和存储要求，再安装和启用模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model-filte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95636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02  筛选模型能力与规格</w:t>
      </w:r>
    </w:p>
    <w:p>
      <w:pPr>
        <w:pStyle w:val="FigureGuide"/>
        <w:widowControl/>
        <w:snapToGrid w:val="0"/>
      </w:pPr>
      <w:r>
        <w:t>核对能力 内存和存储要求，再安装和启用模型。</w:t>
      </w:r>
    </w:p>
    <w:p>
      <w:pPr>
        <w:widowControl/>
        <w:snapToGrid w:val="0"/>
        <w:spacing w:after="140"/>
        <w:ind w:left="312" w:hanging="312"/>
      </w:pPr>
      <w:r>
        <w:t>1. 选择模型家族和规格并安装，等待运行环境、下载与校验完成，勿把已下载当成已就绪。</w:t>
      </w:r>
    </w:p>
    <w:p>
      <w:pPr>
        <w:widowControl/>
        <w:snapToGrid w:val="0"/>
        <w:spacing w:after="140"/>
        <w:ind w:left="312" w:hanging="312"/>
      </w:pPr>
      <w:r>
        <w:t>2. 启用模型后进入详情试用；按需要设置上下文、驻留与随应用启动策略。</w:t>
      </w:r>
    </w:p>
    <w:p>
      <w:pPr>
        <w:widowControl/>
        <w:snapToGrid w:val="0"/>
        <w:spacing w:after="140"/>
        <w:ind w:left="312" w:hanging="312"/>
      </w:pPr>
      <w:r>
        <w:t>3. 不用时停止或释放内存；卸载前确认不再依赖本地模型文件。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模型真实返回内容，状态与资源占用相符；失败先检查下载、内存、驱动和运行日志。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3" w:name="formal_os_00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图片和视频模型任务</w:t>
      </w:r>
      <w:bookmarkEnd w:id="20003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图片或视频模型详情；需受支持硬件与组件。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646964" cy="3240000"/>
            <wp:docPr id="5" name="Picture 5" descr="图片模型的组件与资源要求。图片和视频模型均需完整组件与匹配硬件；此处显示安装前状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image-model-car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46964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03  图片模型的组件与资源要求</w:t>
      </w:r>
    </w:p>
    <w:p>
      <w:pPr>
        <w:pStyle w:val="FigureGuide"/>
        <w:widowControl/>
        <w:snapToGrid w:val="0"/>
      </w:pPr>
      <w:r>
        <w:t>图片和视频模型均需完整组件与匹配硬件；此处显示安装前状态。</w:t>
      </w:r>
    </w:p>
    <w:p>
      <w:pPr>
        <w:widowControl/>
        <w:snapToGrid w:val="0"/>
        <w:spacing w:after="140"/>
        <w:ind w:left="312" w:hanging="312"/>
      </w:pPr>
      <w:r>
        <w:t>1. 安装对应完整模型组件，检查磁盘和内存条件后启用。</w:t>
      </w:r>
    </w:p>
    <w:p>
      <w:pPr>
        <w:widowControl/>
        <w:snapToGrid w:val="0"/>
        <w:spacing w:after="140"/>
        <w:ind w:left="312" w:hanging="312"/>
      </w:pPr>
      <w:r>
        <w:t>2. 输入提示词及界面允许的参数，提交后保留任务记录并查看状态。</w:t>
      </w:r>
    </w:p>
    <w:p>
      <w:pPr>
        <w:widowControl/>
        <w:snapToGrid w:val="0"/>
        <w:spacing w:after="140"/>
        <w:ind w:left="312" w:hanging="312"/>
      </w:pPr>
      <w:r>
        <w:t>3. 成功后点击缩略图或结果预览并保存；取消操作后确认任务停止，勿重复提交未知状态任务。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有实际生成文件且可打开。未完成硬件验收的模型按试验能力使用。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4" w:name="formal_os_00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创建 API Key 与网络入口</w:t>
      </w:r>
      <w:bookmarkEnd w:id="20004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API → 模型 API 网络设置及密钥管理。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79058" cy="3240000"/>
            <wp:docPr id="6" name="Picture 6" descr="模型入口 网络设置与应用 Key。先核对发布地址和端口，再创建独立应用 Key；图中地址已遮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api-setting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905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04  模型入口 网络设置与应用 Key</w:t>
      </w:r>
    </w:p>
    <w:p>
      <w:pPr>
        <w:pStyle w:val="FigureGuide"/>
        <w:widowControl/>
        <w:snapToGrid w:val="0"/>
      </w:pPr>
      <w:r>
        <w:t>先核对发布地址和端口，再创建独立应用 Key；图中地址已遮挡。</w:t>
      </w:r>
    </w:p>
    <w:p>
      <w:pPr>
        <w:widowControl/>
        <w:snapToGrid w:val="0"/>
        <w:spacing w:after="140"/>
        <w:ind w:left="312" w:hanging="312"/>
      </w:pPr>
      <w:r>
        <w:t>1. 启用模型入口并检查端口和发布地址；默认通常是设备 IP 的 4319 端口，复制页面显示的 /v1 基址。</w:t>
      </w:r>
    </w:p>
    <w:p>
      <w:pPr>
        <w:widowControl/>
        <w:snapToGrid w:val="0"/>
        <w:spacing w:after="140"/>
        <w:ind w:left="312" w:hanging="312"/>
      </w:pPr>
      <w:r>
        <w:t>2. 创建设备应用 Key 并保存完整值；需要企业约束时再选择关联成员。</w:t>
      </w:r>
    </w:p>
    <w:p>
      <w:pPr>
        <w:widowControl/>
        <w:snapToGrid w:val="0"/>
        <w:spacing w:after="140"/>
        <w:ind w:left="312" w:hanging="312"/>
      </w:pPr>
      <w:r>
        <w:t>3. 从调用电脑请求模型列表，再使用列表内的 ID 发送聊天；停用 Key 后核对新请求被拒绝。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实际客户端能取得模型并返回内容；设备控制 4318、企业 4320 与模型 4319 分别使用。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5" w:name="formal_os_00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1.5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向量媒体接口与计量</w:t>
      </w:r>
      <w:bookmarkEnd w:id="20005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已启用相应模型；调用端持有 OS Key。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79058" cy="3240000"/>
            <wp:docPr id="7" name="Picture 7" descr="模型 API 的调用类型和计量入口。从页面核对语言 向量与媒体接口，按实际模型能力调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api-setting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905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05  模型 API 的调用类型和计量入口</w:t>
      </w:r>
    </w:p>
    <w:p>
      <w:pPr>
        <w:pStyle w:val="FigureGuide"/>
        <w:widowControl/>
        <w:snapToGrid w:val="0"/>
      </w:pPr>
      <w:r>
        <w:t>从页面核对语言 向量与媒体接口，按实际模型能力调用。</w:t>
      </w:r>
    </w:p>
    <w:p>
      <w:pPr>
        <w:widowControl/>
        <w:snapToGrid w:val="0"/>
        <w:spacing w:after="140"/>
        <w:ind w:left="312" w:hanging="312"/>
      </w:pPr>
      <w:r>
        <w:t>1. 文本生成调用 /chat/completions；向量模型调用 /embeddings，模型名使用实际发现结果。</w:t>
      </w:r>
    </w:p>
    <w:p>
      <w:pPr>
        <w:widowControl/>
        <w:snapToGrid w:val="0"/>
        <w:spacing w:after="140"/>
        <w:ind w:left="312" w:hanging="312"/>
      </w:pPr>
      <w:r>
        <w:t>2. 媒体先查 /media/models，再提交 /media/jobs，并按任务 ID 查询、取消或读取结果。</w:t>
      </w:r>
    </w:p>
    <w:p>
      <w:pPr>
        <w:widowControl/>
        <w:snapToGrid w:val="0"/>
        <w:spacing w:after="140"/>
        <w:ind w:left="312" w:hanging="312"/>
      </w:pPr>
      <w:r>
        <w:t>3. 在模型详情或 API 计量检查来源、请求和 Token，区分已接受、成功与失败任务。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接口类型与模型能力匹配，计量可核对；未实现的其他兼容平台 API 不应直接套用。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06" w:name="formal_os_007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2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服务器路由与跨机功能</w:t>
      </w:r>
      <w:bookmarkEnd w:id="20006"/>
    </w:p>
    <w:p>
      <w:pPr>
        <w:pStyle w:val="Heading2"/>
        <w:keepNext/>
        <w:pageBreakBefore w:val="0"/>
        <w:widowControl/>
        <w:snapToGrid w:val="0"/>
        <w:jc w:val="left"/>
      </w:pPr>
      <w:bookmarkStart w:id="20007" w:name="formal_os_00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通过 SSH 接入服务器</w:t>
      </w:r>
      <w:bookmarkEnd w:id="20007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顶部 → 连接服务器；SSH 地址、用户、端口和私钥。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589968" cy="3240000"/>
            <wp:docPr id="8" name="Picture 8" descr="通过 SSH 连接服务器。填写目标地址和有效 SSH 身份，先检测再准备运行环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server-form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8996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06  通过 SSH 连接服务器</w:t>
      </w:r>
    </w:p>
    <w:p>
      <w:pPr>
        <w:pStyle w:val="FigureGuide"/>
        <w:widowControl/>
        <w:snapToGrid w:val="0"/>
      </w:pPr>
      <w:r>
        <w:t>填写目标地址和有效 SSH 身份，先检测再准备运行环境。</w:t>
      </w:r>
    </w:p>
    <w:p>
      <w:pPr>
        <w:widowControl/>
        <w:snapToGrid w:val="0"/>
        <w:spacing w:after="140"/>
        <w:ind w:left="312" w:hanging="312"/>
      </w:pPr>
      <w:r>
        <w:t>1. 填写信息并检测；已运行 OS 的设备直接接入，未安装的受支持 Linux 设备按检查结果准备后台。</w:t>
      </w:r>
    </w:p>
    <w:p>
      <w:pPr>
        <w:widowControl/>
        <w:snapToGrid w:val="0"/>
        <w:spacing w:after="140"/>
        <w:ind w:left="312" w:hanging="312"/>
      </w:pPr>
      <w:r>
        <w:t>2. 安装前确认 root 或免交互 sudo、Python、空间与网络等条件，等待健康检查就绪再进入服务器。</w:t>
      </w:r>
    </w:p>
    <w:p>
      <w:pPr>
        <w:widowControl/>
        <w:snapToGrid w:val="0"/>
        <w:spacing w:after="140"/>
        <w:ind w:left="312" w:hanging="312"/>
      </w:pPr>
      <w:r>
        <w:t>3. 在远程位置核对硬件、服务和连接诊断；需要受限管理时按当前权限登录流程认证。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目标设备后台就绪且可管理。删除连接只清除本机连接记录，不自动卸载服务器数据。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8" w:name="formal_os_00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模型路由与多个完整副本</w:t>
      </w:r>
      <w:bookmarkEnd w:id="20008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API → 模型路由；已有可用模型或已连接设备。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9" name="Picture 9" descr="统一模型入口。设备和模型就绪后再创建路由；使用页面返回的模型 ID 验证调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api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07  统一模型入口</w:t>
      </w:r>
    </w:p>
    <w:p>
      <w:pPr>
        <w:pStyle w:val="FigureGuide"/>
        <w:widowControl/>
        <w:snapToGrid w:val="0"/>
      </w:pPr>
      <w:r>
        <w:t>设备和模型就绪后再创建路由；使用页面返回的模型 ID 验证调用。</w:t>
      </w:r>
    </w:p>
    <w:p>
      <w:pPr>
        <w:widowControl/>
        <w:snapToGrid w:val="0"/>
        <w:spacing w:after="140"/>
        <w:ind w:left="312" w:hanging="312"/>
      </w:pPr>
      <w:r>
        <w:t>1. 新建路由并选已登记的模型目标；同模型选择均衡方式，不同模型按允许的顺序中转。</w:t>
      </w:r>
    </w:p>
    <w:p>
      <w:pPr>
        <w:widowControl/>
        <w:snapToGrid w:val="0"/>
        <w:spacing w:after="140"/>
        <w:ind w:left="312" w:hanging="312"/>
      </w:pPr>
      <w:r>
        <w:t>2. 设置并发、超时和故障冷却，或选择多台设备批量安装并启用同一模型，分别等到模型就绪。</w:t>
      </w:r>
    </w:p>
    <w:p>
      <w:pPr>
        <w:widowControl/>
        <w:snapToGrid w:val="0"/>
        <w:spacing w:after="140"/>
        <w:ind w:left="312" w:hanging="312"/>
      </w:pPr>
      <w:r>
        <w:t>3. 复制 route 模型 ID 试用，查看各节点状态、调用与失败记录；修改前等待活动请求结束。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统一 ID 可调用且请求分配可观察。完整副本模式不合并多台设备显存或内存。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9" w:name="formal_os_010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CPU 双机与 GPU 跨机部署</w:t>
      </w:r>
      <w:bookmarkEnd w:id="20009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模型服务的跨机部署入口；仅在版本展示该开发功能时使用。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589968" cy="3240000"/>
            <wp:docPr id="10" name="Picture 10" descr="准备跨机部署的目标设备。本图显示服务器接入前的配置；跨机分组需在目标设备连接后操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server-form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8996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08  准备跨机部署的目标设备</w:t>
      </w:r>
    </w:p>
    <w:p>
      <w:pPr>
        <w:pStyle w:val="FigureGuide"/>
        <w:widowControl/>
        <w:snapToGrid w:val="0"/>
      </w:pPr>
      <w:r>
        <w:t>本图显示服务器接入前的配置；跨机分组需在目标设备连接后操作。</w:t>
      </w:r>
    </w:p>
    <w:p>
      <w:pPr>
        <w:widowControl/>
        <w:snapToGrid w:val="0"/>
        <w:spacing w:after="140"/>
        <w:ind w:left="312" w:hanging="312"/>
      </w:pPr>
      <w:r>
        <w:t>1. CPU 验证选择两台符合条件的 Linux 服务器及固定小模型；GPU 组选择受支持节点和规格，先跑资源与通信预检。</w:t>
      </w:r>
    </w:p>
    <w:p>
      <w:pPr>
        <w:widowControl/>
        <w:snapToGrid w:val="0"/>
        <w:spacing w:after="140"/>
        <w:ind w:left="312" w:hanging="312"/>
      </w:pPr>
      <w:r>
        <w:t>2. 创建组后查看分片、日志和整体就绪，完成实际推理；CPU 拆分需确认两台均持有非零模型缓冲区。</w:t>
      </w:r>
    </w:p>
    <w:p>
      <w:pPr>
        <w:widowControl/>
        <w:snapToGrid w:val="0"/>
        <w:spacing w:after="140"/>
        <w:ind w:left="312" w:hanging="312"/>
      </w:pPr>
      <w:r>
        <w:t>3. 使用模型组 ID 验证调用、停止和恢复；测试结束使用组清理功能并核对资源。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完整组有真实输出。CPU 小模型验收不代表大模型容量，GPU 多机性能仍需目标硬件实测。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0" w:name="formal_os_011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网络诊断与服务器可达性</w:t>
      </w:r>
      <w:bookmarkEnd w:id="20010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服务器端口与连接；识别为阿里云 ECS 时可有授权及安全组入口。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589968" cy="3240000"/>
            <wp:docPr id="11" name="Picture 11" descr="服务器地址和连接检测入口。按目标网络检查 SSH 与服务端口；连接成功后再排查外部可达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server-form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8996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09  服务器地址和连接检测入口</w:t>
      </w:r>
    </w:p>
    <w:p>
      <w:pPr>
        <w:pStyle w:val="FigureGuide"/>
        <w:widowControl/>
        <w:snapToGrid w:val="0"/>
      </w:pPr>
      <w:r>
        <w:t>按目标网络检查 SSH 与服务端口；连接成功后再排查外部可达性。</w:t>
      </w:r>
    </w:p>
    <w:p>
      <w:pPr>
        <w:widowControl/>
        <w:snapToGrid w:val="0"/>
        <w:spacing w:after="140"/>
        <w:ind w:left="312" w:hanging="312"/>
      </w:pPr>
      <w:r>
        <w:t>1. 先检测 SSH、HTTP、HTTPS 和已配置服务端口，查看检测时间与所用通道。</w:t>
      </w:r>
    </w:p>
    <w:p>
      <w:pPr>
        <w:widowControl/>
        <w:snapToGrid w:val="0"/>
        <w:spacing w:after="140"/>
        <w:ind w:left="312" w:hanging="312"/>
      </w:pPr>
      <w:r>
        <w:t>2. 需要外部访问时核对防火墙、云安全组和反向代理；实际端口以该服务配置为准。</w:t>
      </w:r>
    </w:p>
    <w:p>
      <w:pPr>
        <w:widowControl/>
        <w:snapToGrid w:val="0"/>
        <w:spacing w:after="140"/>
        <w:ind w:left="312" w:hanging="312"/>
      </w:pPr>
      <w:r>
        <w:t>3. 若当前版本提供阿里云安全组管理，先配置有权限的云账号授权，预览目标规则后再应用。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从使用者所在电脑可达实际服务。诊断本身不修改规则，其他云平台按各自运维方式处理。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1" w:name="formal_os_012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3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应用部署与持续运维</w:t>
      </w:r>
      <w:bookmarkEnd w:id="20011"/>
    </w:p>
    <w:p>
      <w:pPr>
        <w:pStyle w:val="Heading2"/>
        <w:keepNext/>
        <w:pageBreakBefore w:val="0"/>
        <w:widowControl/>
        <w:snapToGrid w:val="0"/>
        <w:jc w:val="left"/>
      </w:pPr>
      <w:bookmarkStart w:id="20012" w:name="formal_os_01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安装应用模板或公共镜像</w:t>
      </w:r>
      <w:bookmarkEnd w:id="20012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应用与集群 → 部署中心；目标容器环境已准备。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12" name="Picture 12" descr="选择应用模板或公共镜像。核对部署目标和环境准备情况，再进入对应创建流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deploymen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10  选择应用模板或公共镜像</w:t>
      </w:r>
    </w:p>
    <w:p>
      <w:pPr>
        <w:pStyle w:val="FigureGuide"/>
        <w:widowControl/>
        <w:snapToGrid w:val="0"/>
      </w:pPr>
      <w:r>
        <w:t>核对部署目标和环境准备情况，再进入对应创建流程。</w:t>
      </w:r>
    </w:p>
    <w:p>
      <w:pPr>
        <w:widowControl/>
        <w:snapToGrid w:val="0"/>
        <w:spacing w:after="140"/>
        <w:ind w:left="312" w:hanging="312"/>
      </w:pPr>
      <w:r>
        <w:t>1. 先选择正确服务器和容器空间；从已支持模板创建，或填写公共镜像。</w:t>
      </w:r>
    </w:p>
    <w:p>
      <w:pPr>
        <w:widowControl/>
        <w:snapToGrid w:val="0"/>
        <w:spacing w:after="140"/>
        <w:ind w:left="312" w:hanging="312"/>
      </w:pPr>
      <w:r>
        <w:t>2. 填写应用名、端口、CPU、内存和实例范围；按需要配置访问域名及就绪检查。</w:t>
      </w:r>
    </w:p>
    <w:p>
      <w:pPr>
        <w:widowControl/>
        <w:snapToGrid w:val="0"/>
        <w:spacing w:after="140"/>
        <w:ind w:left="312" w:hanging="312"/>
      </w:pPr>
      <w:r>
        <w:t>3. 提交部署并查看任务，待实例就绪后从应用详情访问或创建私有预览。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目标实例真实就绪且能访问。域名需另有 DNS，数据库和持久卷按当前支持范围配置。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3" w:name="formal_os_01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从本地源码构建发布</w:t>
      </w:r>
      <w:bookmarkEnd w:id="20013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部署中心的源码入口；本机有完整项目目录。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593369"/>
            <wp:docPr id="13" name="Picture 13" descr="选择并检验源码的入口。选择包含完整源码的文件夹，再按检验结果配置目标空间与应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source-form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593369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11  选择并检验源码的入口</w:t>
      </w:r>
    </w:p>
    <w:p>
      <w:pPr>
        <w:pStyle w:val="FigureGuide"/>
        <w:widowControl/>
        <w:snapToGrid w:val="0"/>
      </w:pPr>
      <w:r>
        <w:t>选择包含完整源码的文件夹，再按检验结果配置目标空间与应用。</w:t>
      </w:r>
    </w:p>
    <w:p>
      <w:pPr>
        <w:widowControl/>
        <w:snapToGrid w:val="0"/>
        <w:spacing w:after="140"/>
        <w:ind w:left="312" w:hanging="312"/>
      </w:pPr>
      <w:r>
        <w:t>1. 选择源码目录，读取技术栈、端口和构建检测结果；用 .ipolloignore 排除额外无关文件。</w:t>
      </w:r>
    </w:p>
    <w:p>
      <w:pPr>
        <w:widowControl/>
        <w:snapToGrid w:val="0"/>
        <w:spacing w:after="140"/>
        <w:ind w:left="312" w:hanging="312"/>
      </w:pPr>
      <w:r>
        <w:t>2. 确认目标空间、资源和运行配置后上传当前快照，等待远程构建与部署阶段完成。</w:t>
      </w:r>
    </w:p>
    <w:p>
      <w:pPr>
        <w:widowControl/>
        <w:snapToGrid w:val="0"/>
        <w:spacing w:after="140"/>
        <w:ind w:left="312" w:hanging="312"/>
      </w:pPr>
      <w:r>
        <w:t>3. 修改后向同一应用再次更新，保留身份和地址；查看最新构建日志与发布版本。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新代码真实运行。当前源码路径受单节点、80 MB 和 20000 文件等限制，不是保存即热更新。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4" w:name="formal_os_01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环境变量健康检查与伸缩</w:t>
      </w:r>
      <w:bookmarkEnd w:id="20014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应用详情 → 配置；具备应用管理权限。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14" name="Picture 14" descr="应用与部署管理入口。进入具体应用后检查配置 健康状态和实例；需要已就绪的部署环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deploymen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12  应用与部署管理入口</w:t>
      </w:r>
    </w:p>
    <w:p>
      <w:pPr>
        <w:pStyle w:val="FigureGuide"/>
        <w:widowControl/>
        <w:snapToGrid w:val="0"/>
      </w:pPr>
      <w:r>
        <w:t>进入具体应用后检查配置 健康状态和实例；需要已就绪的部署环境。</w:t>
      </w:r>
    </w:p>
    <w:p>
      <w:pPr>
        <w:widowControl/>
        <w:snapToGrid w:val="0"/>
        <w:spacing w:after="140"/>
        <w:ind w:left="312" w:hanging="312"/>
      </w:pPr>
      <w:r>
        <w:t>1. 按需调整镜像、资源、端口、命令、健康检查与实例上下限，核对预算和 HPA 目标。</w:t>
      </w:r>
    </w:p>
    <w:p>
      <w:pPr>
        <w:widowControl/>
        <w:snapToGrid w:val="0"/>
        <w:spacing w:after="140"/>
        <w:ind w:left="312" w:hanging="312"/>
      </w:pPr>
      <w:r>
        <w:t>2. 添加环境变量时填写名称与值；已有值按保留、替换或删除处理，源码 PORT/HOST 由系统管理。</w:t>
      </w:r>
    </w:p>
    <w:p>
      <w:pPr>
        <w:widowControl/>
        <w:snapToGrid w:val="0"/>
        <w:spacing w:after="140"/>
        <w:ind w:left="312" w:hanging="312"/>
      </w:pPr>
      <w:r>
        <w:t>3. 保存后查看任务和就绪实例，再验证业务请求；更新期间可能短暂中断。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应用使用新配置并保持预期状态；HPA 调整应用副本，不自动购买云服务器。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5" w:name="formal_os_01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日志预览启停与代码回退</w:t>
      </w:r>
      <w:bookmarkEnd w:id="20015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应用详情的实例、日志、事件与版本入口。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15" name="Picture 15" descr="从应用入口检查运行结果。在目标应用详情读取实例 日志与发布版本，并核对实际访问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deploymen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13  从应用入口检查运行结果</w:t>
      </w:r>
    </w:p>
    <w:p>
      <w:pPr>
        <w:pStyle w:val="FigureGuide"/>
        <w:widowControl/>
        <w:snapToGrid w:val="0"/>
      </w:pPr>
      <w:r>
        <w:t>在目标应用详情读取实例 日志与发布版本，并核对实际访问结果。</w:t>
      </w:r>
    </w:p>
    <w:p>
      <w:pPr>
        <w:widowControl/>
        <w:snapToGrid w:val="0"/>
        <w:spacing w:after="140"/>
        <w:ind w:left="312" w:hanging="312"/>
      </w:pPr>
      <w:r>
        <w:t>1. 选择真实实例读取日志，结合事件和资源定位失败；需要时查看上一次容器日志。</w:t>
      </w:r>
    </w:p>
    <w:p>
      <w:pPr>
        <w:widowControl/>
        <w:snapToGrid w:val="0"/>
        <w:spacing w:after="140"/>
        <w:ind w:left="312" w:hanging="312"/>
      </w:pPr>
      <w:r>
        <w:t>2. 预览后用本机浏览器检查；暂停应用用停止，再启动时等待就绪。</w:t>
      </w:r>
    </w:p>
    <w:p>
      <w:pPr>
        <w:widowControl/>
        <w:snapToGrid w:val="0"/>
        <w:spacing w:after="140"/>
        <w:ind w:left="312" w:hanging="312"/>
      </w:pPr>
      <w:r>
        <w:t>3. 在发布历史选择先前成功版本并回退，完成后验证实际镜像和业务；运行配置与数据恢复另行处理。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问题可定位，预览或应用可访问，回退版本正确。私有预览只供本机，不作为公开分享链接。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6" w:name="formal_os_017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4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企业后台与权限总控</w:t>
      </w:r>
      <w:bookmarkEnd w:id="20016"/>
    </w:p>
    <w:p>
      <w:pPr>
        <w:pStyle w:val="Heading2"/>
        <w:keepNext/>
        <w:pageBreakBefore w:val="0"/>
        <w:widowControl/>
        <w:snapToGrid w:val="0"/>
        <w:jc w:val="left"/>
      </w:pPr>
      <w:bookmarkStart w:id="20017" w:name="formal_os_01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部署与使用企业后台</w:t>
      </w:r>
      <w:bookmarkEnd w:id="20017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应用与集群 → 部署中心 → 内置应用 → 企业后台管理。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16" name="Picture 16" descr="部署企业后台的配置窗口。确认位置 发布地址和端口，服务就绪后再打开管理页面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enterprise-config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14  部署企业后台的配置窗口</w:t>
      </w:r>
    </w:p>
    <w:p>
      <w:pPr>
        <w:pStyle w:val="FigureGuide"/>
        <w:widowControl/>
        <w:snapToGrid w:val="0"/>
      </w:pPr>
      <w:r>
        <w:t>确认位置 发布地址和端口，服务就绪后再打开管理页面。</w:t>
      </w:r>
    </w:p>
    <w:p>
      <w:pPr>
        <w:widowControl/>
        <w:snapToGrid w:val="0"/>
        <w:spacing w:after="140"/>
        <w:ind w:left="312" w:hanging="312"/>
      </w:pPr>
      <w:r>
        <w:t>1. 核对顶部选定本机或云服务器，打开部署与配置，填写端口和真实发布地址后部署。</w:t>
      </w:r>
    </w:p>
    <w:p>
      <w:pPr>
        <w:widowControl/>
        <w:snapToGrid w:val="0"/>
        <w:spacing w:after="140"/>
        <w:ind w:left="312" w:hanging="312"/>
      </w:pPr>
      <w:r>
        <w:t>2. 服务就绪后在应用卡片进入管理网页；成员、部门、资源、审核和企业加入沿用 Enterprise 操作。</w:t>
      </w:r>
    </w:p>
    <w:p>
      <w:pPr>
        <w:widowControl/>
        <w:snapToGrid w:val="0"/>
        <w:spacing w:after="140"/>
        <w:ind w:left="312" w:hanging="312"/>
      </w:pPr>
      <w:r>
        <w:t>3. 复制当前企业地址与加入码给 Work；需停止服务时在卡片执行停止，勿仅关闭管理窗口。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企业网页和客户端发现均可达。当前独立服务默认 4320，关闭桌面不等于停止该服务。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8" w:name="formal_os_01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部署总控并分配管理职责</w:t>
      </w:r>
      <w:bookmarkEnd w:id="20018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内置应用 → 权限总控 → 部署与配置；云端需管理登录与 SSH 权限。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477414"/>
            <wp:docPr id="17" name="Picture 17" descr="部署权限总控的配置窗口。总控与企业后台分别管理；部署后按职责分配管理权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permission-config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77414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15  部署权限总控的配置窗口</w:t>
      </w:r>
    </w:p>
    <w:p>
      <w:pPr>
        <w:pStyle w:val="FigureGuide"/>
        <w:widowControl/>
        <w:snapToGrid w:val="0"/>
      </w:pPr>
      <w:r>
        <w:t>总控与企业后台分别管理；部署后按职责分配管理权限。</w:t>
      </w:r>
    </w:p>
    <w:p>
      <w:pPr>
        <w:widowControl/>
        <w:snapToGrid w:val="0"/>
        <w:spacing w:after="140"/>
        <w:ind w:left="312" w:hanging="312"/>
      </w:pPr>
      <w:r>
        <w:t>1. 部署总控，核对端口和发布地址；默认 4330，独立运行，不要求另建数据库。</w:t>
      </w:r>
    </w:p>
    <w:p>
      <w:pPr>
        <w:widowControl/>
        <w:snapToGrid w:val="0"/>
        <w:spacing w:after="140"/>
        <w:ind w:left="312" w:hanging="312"/>
      </w:pPr>
      <w:r>
        <w:t>2. 按当前页面提供的管理员流程登录，在用户表单创建账号，设置后台、运维、总控三类管理权限。</w:t>
      </w:r>
    </w:p>
    <w:p>
      <w:pPr>
        <w:widowControl/>
        <w:snapToGrid w:val="0"/>
        <w:spacing w:after="140"/>
        <w:ind w:left="312" w:hanging="312"/>
      </w:pPr>
      <w:r>
        <w:t>3. 用新用户登录验证：后台职责管理企业业务，运维职责管理设备与部署，总控职责管理用户；可按实际工作多选。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用户仅取得被授予的管理能力。软件管理登录不能替代 Linux 的 SSH 或 sudo 权限。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19" w:name="formal_os_020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成员模型授权与资源额度</w:t>
      </w:r>
      <w:bookmarkEnd w:id="20019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企业后台的成员、部门与资源设置；OS API Key 关联成员。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79058" cy="3240000"/>
            <wp:docPr id="18" name="Picture 18" descr="成员关联与模型 Key 的位置。需要成员约束时，先准备企业后台，再关联成员并验证实际调用权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api-setting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905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16  成员关联与模型 Key 的位置</w:t>
      </w:r>
    </w:p>
    <w:p>
      <w:pPr>
        <w:pStyle w:val="FigureGuide"/>
        <w:widowControl/>
        <w:snapToGrid w:val="0"/>
      </w:pPr>
      <w:r>
        <w:t>需要成员约束时，先准备企业后台，再关联成员并验证实际调用权限。</w:t>
      </w:r>
    </w:p>
    <w:p>
      <w:pPr>
        <w:widowControl/>
        <w:snapToGrid w:val="0"/>
        <w:spacing w:after="140"/>
        <w:ind w:left="312" w:hanging="312"/>
      </w:pPr>
      <w:r>
        <w:t>1. 配置成员所属部门与资源使用范围；模型或应用分别选择使用和管理对象。</w:t>
      </w:r>
    </w:p>
    <w:p>
      <w:pPr>
        <w:widowControl/>
        <w:snapToGrid w:val="0"/>
        <w:spacing w:after="140"/>
        <w:ind w:left="312" w:hanging="312"/>
      </w:pPr>
      <w:r>
        <w:t>2. 需要成员审计时创建关联该成员的 API Key，再验证模型列表与实际调用权限。</w:t>
      </w:r>
    </w:p>
    <w:p>
      <w:pPr>
        <w:widowControl/>
        <w:snapToGrid w:val="0"/>
        <w:spacing w:after="140"/>
        <w:ind w:left="312" w:hanging="312"/>
      </w:pPr>
      <w:r>
        <w:t>3. 设置 CPU、GPU、显存、内存与存储额度后核对执行结果；共享推理无法保证硬额度时会拒绝受限调用。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授权实时生效且可核对审计。设备应用 Key 与成员 Key 分开；可填额度不等于硬件独立隔离已完成。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0" w:name="formal_os_021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持久服务备份与恢复</w:t>
      </w:r>
      <w:bookmarkEnd w:id="20020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应用卡片、服务配置和部署数据目录；管理员操作。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19" name="Picture 19" descr="区分企业后台和总控服务。分别记录服务地址 配置与数据位置，按本节顺序备份和恢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app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17  区分企业后台和总控服务</w:t>
      </w:r>
    </w:p>
    <w:p>
      <w:pPr>
        <w:pStyle w:val="FigureGuide"/>
        <w:widowControl/>
        <w:snapToGrid w:val="0"/>
      </w:pPr>
      <w:r>
        <w:t>分别记录服务地址 配置与数据位置，按本节顺序备份和恢复。</w:t>
      </w:r>
    </w:p>
    <w:p>
      <w:pPr>
        <w:widowControl/>
        <w:snapToGrid w:val="0"/>
        <w:spacing w:after="140"/>
        <w:ind w:left="312" w:hanging="312"/>
      </w:pPr>
      <w:r>
        <w:t>1. 分别记录设备服务、企业后台、总控和模型入口的地址与运行状态。</w:t>
      </w:r>
    </w:p>
    <w:p>
      <w:pPr>
        <w:widowControl/>
        <w:snapToGrid w:val="0"/>
        <w:spacing w:after="140"/>
        <w:ind w:left="312" w:hanging="312"/>
      </w:pPr>
      <w:r>
        <w:t>2. 备份企业数据与制品、服务配置、总控 JSON 权限资料，以及恢复所必需的加密密钥。</w:t>
      </w:r>
    </w:p>
    <w:p>
      <w:pPr>
        <w:widowControl/>
        <w:snapToGrid w:val="0"/>
        <w:spacing w:after="140"/>
        <w:ind w:left="312" w:hanging="312"/>
      </w:pPr>
      <w:r>
        <w:t>3. 恢复前停止实际数据持有服务，核对身份和目录；启动后验证成员、资源、加入码及模型 Key。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数据和身份恢复一致。本机独立服务可能持续运行，当前 Windows 部署不自动等于开机自启。</w:t>
      </w:r>
    </w:p>
    <w:p>
      <w:pPr>
        <w:widowControl/>
        <w:snapToGrid w:val="0"/>
      </w:pPr>
      <w:r>
        <w:t>企业员工加入和资源使用的七步完整流程见生态指南第三章；企业成员、部门及审核操作见 Enterprise 手册。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21" w:name="formal_os_022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附录 A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产品能力与使用范围</w:t>
      </w:r>
      <w:bookmarkEnd w:id="20021"/>
    </w:p>
    <w:p>
      <w:pPr>
        <w:widowControl/>
        <w:snapToGrid w:val="0"/>
        <w:spacing w:line="340" w:lineRule="exact" w:after="80"/>
      </w:pPr>
      <w:r>
        <w:t>本附录保留原项目指南中的产品能力说明，帮助核对功能范围与部署条件。引用编号统一对应生态指南第六章的资料索引。</w:t>
      </w:r>
    </w:p>
    <w:p>
      <w:pPr>
        <w:widowControl/>
        <w:snapToGrid w:val="0"/>
        <w:spacing w:line="340" w:lineRule="exact" w:after="80"/>
      </w:pPr>
      <w:r>
        <w:t>iPolloOS 是桌面 AI 基础设施应用，把普通电脑和可连接的服务器组织成可管理、可调用的模型与应用运行环境。它提供设备检测、模型安装、推理服务、统一 API、设备连接及空间管理，企业治理复用 Enterprise。[5] [6]</w:t>
      </w:r>
    </w:p>
    <w:p>
      <w:pPr>
        <w:pStyle w:val="Heading2"/>
        <w:keepNext/>
        <w:widowControl/>
        <w:snapToGrid w:val="0"/>
        <w:jc w:val="left"/>
      </w:pPr>
      <w:bookmarkStart w:id="20022" w:name="formal_os_02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设备检测与模型选择</w:t>
      </w:r>
      <w:bookmarkEnd w:id="20022"/>
    </w:p>
    <w:p>
      <w:pPr>
        <w:widowControl/>
        <w:snapToGrid w:val="0"/>
        <w:spacing w:line="340" w:lineRule="exact" w:after="80"/>
      </w:pPr>
      <w:r>
        <w:t>读取操作系统、芯片、CPU、GPU、内存、磁盘及可获取的运行指标。模型市场展示规格、大小、建议内存、上下文和设备适配信息，帮助用户在当前硬件条件下选择模型。设备建议和模型目录信息应结合真实加载与输出验证。</w:t>
      </w:r>
    </w:p>
    <w:p>
      <w:pPr>
        <w:pStyle w:val="Heading2"/>
        <w:keepNext/>
        <w:widowControl/>
        <w:snapToGrid w:val="0"/>
        <w:jc w:val="left"/>
      </w:pPr>
      <w:bookmarkStart w:id="20023" w:name="formal_os_02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本机模型生命周期</w:t>
      </w:r>
      <w:bookmarkEnd w:id="20023"/>
    </w:p>
    <w:p>
      <w:pPr>
        <w:widowControl/>
        <w:snapToGrid w:val="0"/>
        <w:spacing w:line="340" w:lineRule="exact" w:after="80"/>
      </w:pPr>
      <w:r>
        <w:t>通过托管 Ollama 或已有本机 Ollama 安装与运行语言模型，集中处理下载、续传、校验、启用、停止、内存释放、启动策略和上下文配置。模型详情显示状态、调用次数、Token、速度与调用来源，减少为各模型单独维护启动方式。</w:t>
      </w:r>
    </w:p>
    <w:p>
      <w:pPr>
        <w:pStyle w:val="Heading2"/>
        <w:keepNext/>
        <w:widowControl/>
        <w:snapToGrid w:val="0"/>
        <w:jc w:val="left"/>
      </w:pPr>
      <w:bookmarkStart w:id="20024" w:name="formal_os_02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图片与视频模型</w:t>
      </w:r>
      <w:bookmarkEnd w:id="20024"/>
    </w:p>
    <w:p>
      <w:pPr>
        <w:widowControl/>
        <w:snapToGrid w:val="0"/>
        <w:spacing w:line="340" w:lineRule="exact" w:after="80"/>
      </w:pPr>
      <w:r>
        <w:t>托管 ComfyUI 及固定媒体工作流，包含 FLUX.2 Klein、Z-Image Turbo、Wan 等组件路径。媒体生成使用异步任务，支持查询、取消和结果读取。FLUX.2 Klein 已有 Apple 设备真实生成记录；其他媒体模型和硬件组合仍需逐项验收。</w:t>
      </w:r>
    </w:p>
    <w:p>
      <w:pPr>
        <w:pStyle w:val="Heading2"/>
        <w:keepNext/>
        <w:widowControl/>
        <w:snapToGrid w:val="0"/>
        <w:jc w:val="left"/>
      </w:pPr>
      <w:bookmarkStart w:id="20025" w:name="formal_os_02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统一模型 API 与密钥</w:t>
      </w:r>
      <w:bookmarkEnd w:id="20025"/>
    </w:p>
    <w:p>
      <w:pPr>
        <w:widowControl/>
        <w:snapToGrid w:val="0"/>
        <w:spacing w:line="340" w:lineRule="exact" w:after="80"/>
      </w:pPr>
      <w:r>
        <w:t>提供 OpenAI 兼容的模型发现、聊天、流式输出和 Embeddings，以及专用媒体任务接口。调用方使用 OS 创建的 API Key，按模型 ID 路由至本机、节点池、集群或已接入的云供应商。Key 可停用，也可关联成员权限；兼容范围以已实现接口为限。[7]</w:t>
      </w:r>
    </w:p>
    <w:p>
      <w:pPr>
        <w:pStyle w:val="Heading2"/>
        <w:keepNext/>
        <w:widowControl/>
        <w:snapToGrid w:val="0"/>
        <w:jc w:val="left"/>
      </w:pPr>
      <w:bookmarkStart w:id="20026" w:name="formal_os_027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A.5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路由和完整模型副本</w:t>
      </w:r>
      <w:bookmarkEnd w:id="20026"/>
    </w:p>
    <w:p>
      <w:pPr>
        <w:widowControl/>
        <w:snapToGrid w:val="0"/>
        <w:spacing w:line="340" w:lineRule="exact" w:after="80"/>
      </w:pPr>
      <w:r>
        <w:t>可给模型配置 route 统一 ID，设置同模型副本分配、不同模型顺序中转、并发上限、超时与故障冷却。同模型副本也可在多台原生服务器批量安装、启用。每个副本独立运行完整模型，这类请求分配不合并设备内存。</w:t>
      </w:r>
    </w:p>
    <w:p>
      <w:pPr>
        <w:pStyle w:val="Heading2"/>
        <w:keepNext/>
        <w:widowControl/>
        <w:snapToGrid w:val="0"/>
        <w:jc w:val="left"/>
      </w:pPr>
      <w:bookmarkStart w:id="20027" w:name="formal_os_02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A.6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远程设备与跨机模型</w:t>
      </w:r>
      <w:bookmarkEnd w:id="20027"/>
    </w:p>
    <w:p>
      <w:pPr>
        <w:widowControl/>
        <w:snapToGrid w:val="0"/>
        <w:spacing w:line="340" w:lineRule="exact" w:after="80"/>
      </w:pPr>
      <w:r>
        <w:t>通过 SSH 检测和接入服务器，按目标环境准备后台或 K3s。另有独立的跨机拆分路径：固定小模型的 CPU 双机拆分已有实际调用与恢复记录；2 至 4 节点 GPU TP/PP 部署属于开发版实现，受同型号 GPU、驱动、网络和资源预检限制，尚需真实多机性能验收。[7]</w:t>
      </w:r>
    </w:p>
    <w:p>
      <w:pPr>
        <w:pStyle w:val="Heading2"/>
        <w:keepNext/>
        <w:widowControl/>
        <w:snapToGrid w:val="0"/>
        <w:jc w:val="left"/>
      </w:pPr>
      <w:bookmarkStart w:id="20028" w:name="formal_os_02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A.7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iPolloOS 应用部署与运行边界</w:t>
      </w:r>
      <w:bookmarkEnd w:id="20028"/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29" w:name="formal_os_030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A.7.1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应用模板与容器部署</w:t>
      </w:r>
      <w:bookmarkEnd w:id="20029"/>
    </w:p>
    <w:p>
      <w:pPr>
        <w:widowControl/>
        <w:snapToGrid w:val="0"/>
        <w:spacing w:line="340" w:lineRule="exact" w:after="80"/>
      </w:pPr>
      <w:r>
        <w:t>在准备好的 K3s 或符合条件的 Kubernetes 环境中部署当前支持的公共镜像和应用模板。模板市场展示已支持项目，用户配置资源、端口和实例范围后执行部署。是否能部署特定应用取决于镜像、认证、存储、网络和运行期配置要求。[5] [7]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0" w:name="formal_os_031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A.7.2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源码构建与持续发布</w:t>
      </w:r>
      <w:bookmarkEnd w:id="20030"/>
    </w:p>
    <w:p>
      <w:pPr>
        <w:widowControl/>
        <w:snapToGrid w:val="0"/>
        <w:spacing w:line="340" w:lineRule="exact" w:after="80"/>
      </w:pPr>
      <w:r>
        <w:t>检测本地源码项目，筛选和上传快照，云端构建镜像并发布到同一应用。技术栈识别覆盖 Dockerfile、Node.js、Next.js、Vite、Python、Go 和静态站点等路径。源码更新保持应用身份，发布历史可用于回退代码镜像；数据库和用户文件需要各自恢复机制。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1" w:name="formal_os_032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A.7.3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应用运维与预览</w:t>
      </w:r>
      <w:bookmarkEnd w:id="20031"/>
    </w:p>
    <w:p>
      <w:pPr>
        <w:widowControl/>
        <w:snapToGrid w:val="0"/>
        <w:spacing w:line="340" w:lineRule="exact" w:after="80"/>
      </w:pPr>
      <w:r>
        <w:t>查看实例状态、日志、事件、资源用量、配置和发布结果，执行启停、更新与代码回退。应用副本可配置范围并使用 HPA，私有预览便于开发者从本机访问云应用。实际环境变量、存储、HTTPS 和配套服务能力应按目标版本与部署模板核对。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2" w:name="formal_os_033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A.7.4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企业后台与权限总控</w:t>
      </w:r>
      <w:bookmarkEnd w:id="20032"/>
    </w:p>
    <w:p>
      <w:pPr>
        <w:widowControl/>
        <w:snapToGrid w:val="0"/>
        <w:spacing w:line="340" w:lineRule="exact" w:after="80"/>
      </w:pPr>
      <w:r>
        <w:t>应用与集群可分别部署企业后台管理和权限总控。企业后台维护成员、部门、资源、审核及成员资源授权；总控按后台、运维、总控三类职责管理软件操作者。模型 Key 可关联企业成员；共享推理无法保证硬额度时拒绝受限调用，不能把额度设置等同于独立硬件隔离。[6] [11]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3" w:name="formal_os_034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A.7.5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网络接口的正确使用</w:t>
      </w:r>
      <w:bookmarkEnd w:id="20033"/>
    </w:p>
    <w:p>
      <w:pPr>
        <w:widowControl/>
        <w:snapToGrid w:val="0"/>
        <w:spacing w:line="340" w:lineRule="exact" w:after="80"/>
      </w:pPr>
      <w:r>
        <w:t>内部控制服务使用 127.0.0.1:4318。当前模型对外入口默认独立使用 4319，企业后台通常使用 4320，权限总控通常使用 4330；地址和端口均以页面实际配置为准。模型基址从 API 页复制，常见形式为 http://设备IP:4319/v1。模型 Key、企业会话和总控登录分别使用。[11]</w:t>
      </w:r>
    </w:p>
    <w:p>
      <w:pPr>
        <w:pStyle w:val="Heading3"/>
        <w:keepNext/>
        <w:widowControl/>
        <w:snapToGrid w:val="0"/>
        <w:spacing w:before="180" w:after="100"/>
        <w:jc w:val="left"/>
      </w:pPr>
      <w:bookmarkStart w:id="20034" w:name="formal_os_035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A.7.6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验证状态与交付限制</w:t>
      </w:r>
      <w:bookmarkEnd w:id="20034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2058"/>
        <w:gridCol w:w="7297"/>
      </w:tblGrid>
      <w:tr>
        <w:trPr>
          <w:cantSplit/>
          <w:tblHeader w:val="1"/>
        </w:trPr>
        <w:tc>
          <w:tcPr>
            <w:tcW w:type="dxa" w:w="2058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能力</w:t>
            </w:r>
          </w:p>
        </w:tc>
        <w:tc>
          <w:tcPr>
            <w:tcW w:type="dxa" w:w="7297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当前说明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本机语言与图片</w:t>
            </w:r>
          </w:p>
        </w:tc>
        <w:tc>
          <w:tcPr>
            <w:tcW w:type="dxa" w:w="729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Apple Silicon 和部分 Windows 设备已有真实运行记录；不能推广为所有设备均通过。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CPU 双机拆分</w:t>
            </w:r>
          </w:p>
        </w:tc>
        <w:tc>
          <w:tcPr>
            <w:tcW w:type="dxa" w:w="729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固定 SmolLM2 小模型已完成双机实际推理、故障、停止与恢复验证；不代表大模型性能。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GPU 跨机与云模型</w:t>
            </w:r>
          </w:p>
        </w:tc>
        <w:tc>
          <w:tcPr>
            <w:tcW w:type="dxa" w:w="729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GPU 部署链路和部分供应商适配已实现；多机 GPU 性能、真实厂商调用仍需目标环境验收。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应用与平台设施</w:t>
            </w:r>
          </w:p>
        </w:tc>
        <w:tc>
          <w:tcPr>
            <w:tcW w:type="dxa" w:w="729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完整云端复验依赖服务器可用；通用数据库市场、零副本唤醒、自动购机扩容等尚非完整能力。</w:t>
            </w:r>
          </w:p>
        </w:tc>
      </w:tr>
    </w:tbl>
    <w:p>
      <w:pPr>
        <w:pStyle w:val="Heading1"/>
        <w:keepNext/>
        <w:pageBreakBefore w:val="1"/>
        <w:widowControl/>
        <w:snapToGrid w:val="0"/>
        <w:jc w:val="center"/>
      </w:pPr>
      <w:bookmarkStart w:id="20035" w:name="formal_os_036"/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资料依据与使用边界</w:t>
      </w:r>
      <w:bookmarkEnd w:id="20035"/>
    </w:p>
    <w:p>
      <w:pPr>
        <w:keepNext/>
        <w:widowControl/>
        <w:snapToGrid w:val="0"/>
      </w:pPr>
      <w:r>
        <w:t>本册整合《iPollo项目清单与功能使用指南》和 iPolloOS 本地项目说明。企业接入相关内容同时依据《企业功能使用教程》；截图在 2026 年 11 月 2 日采集。</w:t>
      </w:r>
    </w:p>
    <w:p>
      <w:pPr>
        <w:keepNext/>
        <w:widowControl/>
        <w:snapToGrid w:val="0"/>
      </w:pPr>
      <w:r>
        <w:t>模型、容器镜像及子模块各有独立许可；OS 项目授权不自动涵盖模型权重的商业使用权。</w:t>
      </w:r>
    </w:p>
    <w:p>
      <w:pPr>
        <w:keepNext/>
        <w:widowControl/>
        <w:snapToGrid w:val="0"/>
      </w:pPr>
      <w:r>
        <w:t>涉及安装、部署、模型调用、支付、成员权限和外部发布时，应使用目标版本并核对实际结果。开发版、待开放及依赖外部账号的能力按页面提示使用；操作入口可见不自动代表整条业务链路已完成验收。</w:t>
      </w:r>
    </w:p>
    <w:p>
      <w:pPr>
        <w:widowControl/>
        <w:snapToGrid w:val="0"/>
      </w:pPr>
      <w:r>
        <w:t>遇到问题时记录软件版本、所在页面、操作步骤、预期结果和实际提示，保留已产生的文件与任务记录；反馈前移除密钥、口令和客户资料。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417" w:header="851" w:footer="567" w:gutter="0"/>
      <w:cols w:space="72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677" w:val="center"/>
      </w:tabs>
    </w:pPr>
    <w:r>
      <w:rPr>
        <w:rFonts w:ascii="Segoe UI" w:hAnsi="Segoe UI" w:eastAsia="Microsoft YaHei" w:cs="Segoe UI"/>
        <w:sz w:val="16"/>
        <w:szCs w:val="16"/>
        <w:b w:val="0"/>
        <w:bCs w:val="0"/>
        <w:color w:val="5A6774"/>
        <w:i w:val="0"/>
        <w:iCs w:val="0"/>
      </w:rPr>
      <w:t>IP-OS</w:t>
      <w:tab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begin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instrText xml:space="preserve"> PAGE </w:instrTex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separate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t>1</w: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355" w:type="dxa"/>
      <w:jc w:val="center"/>
      <w:tblInd w:w="0" w:type="dxa"/>
      <w:tblBorders>
        <w:top w:val="nil"/>
        <w:left w:val="nil"/>
        <w:right w:val="nil"/>
        <w:insideH w:val="nil"/>
        <w:insideV w:val="nil"/>
        <w:bottom w:val="single" w:sz="4" w:color="BED4E0"/>
      </w:tblBorders>
      <w:tblLayout w:type="fixed"/>
      <w:tblCellMar>
        <w:top w:w="40" w:type="dxa"/>
        <w:bottom w:w="60" w:type="dxa"/>
        <w:left w:w="0" w:type="dxa"/>
        <w:right w:w="0" w:type="dxa"/>
      </w:tblCellMar>
    </w:tblPr>
    <w:tblGrid>
      <w:gridCol w:w="1701"/>
      <w:gridCol w:w="7654"/>
    </w:tblGrid>
    <w:tr>
      <w:tc>
        <w:tcPr>
          <w:tcW w:w="1701" w:type="dxa"/>
          <w:vAlign w:val="center"/>
        </w:tcPr>
        <w:p>
          <w:pPr>
            <w:spacing w:before="0" w:after="0" w:line="436" w:lineRule="atLeast"/>
            <w:ind w:left="0" w:right="0" w:firstLine="0"/>
            <w:jc w:val="left"/>
          </w:pPr>
          <w:r>
            <w:rPr>
              <w:rFonts w:ascii="Segoe UI" w:hAnsi="Segoe UI" w:eastAsia="Microsoft YaHei" w:cs="Segoe UI"/>
              <w:sz w:val="16"/>
              <w:szCs w:val="16"/>
              <w:b w:val="0"/>
              <w:bCs w:val="0"/>
              <w:color w:val="5A6774"/>
              <w:i w:val="0"/>
              <w:iCs w:val="0"/>
            </w:rPr>
            <w:drawing>
              <wp:inline xmlns:a="http://schemas.openxmlformats.org/drawingml/2006/main" xmlns:pic="http://schemas.openxmlformats.org/drawingml/2006/picture">
                <wp:extent cx="630000" cy="1953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1953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Align w:val="center"/>
        </w:tcPr>
        <w:p>
          <w:pPr>
            <w:spacing w:before="0" w:after="0" w:line="436" w:lineRule="atLeast"/>
            <w:ind w:left="0" w:right="0" w:firstLine="0"/>
            <w:jc w:val="right"/>
          </w:pPr>
          <w:r>
            <w:rPr>
              <w:rFonts w:ascii="Segoe UI" w:hAnsi="Segoe UI" w:eastAsia="Microsoft YaHei"/>
              <w:color w:val="5A6774"/>
              <w:sz w:val="16"/>
            </w:rPr>
            <w:t>OS 功能使用手册</w:t>
          </w:r>
        </w:p>
      </w:tc>
    </w:tr>
  </w:tbl>
  <w:p>
    <w:pPr>
      <w:spacing w:before="0" w:after="0" w:line="20" w:lineRule="exact"/>
      <w:rPr>
        <w:sz w:val="2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120" w:line="360" w:lineRule="exact"/>
      <w:ind w:left="0" w:right="0" w:firstLine="0"/>
      <w:snapToGrid w:val="0"/>
    </w:pPr>
    <w:rPr>
      <w:rFonts w:ascii="Segoe UI" w:hAnsi="Segoe UI" w:eastAsia="Microsoft YaHei" w:cs="Segoe UI"/>
      <w:sz w:val="22"/>
      <w:szCs w:val="22"/>
      <w:color w:val="161E24"/>
      <w:b w:val="0"/>
      <w:bCs w:val="0"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240" w:after="280" w:line="560" w:lineRule="exact"/>
      <w:ind w:left="0" w:right="0" w:firstLine="0"/>
      <w:outlineLvl w:val="0"/>
      <w:snapToGrid w:val="0"/>
    </w:pPr>
    <w:rPr>
      <w:rFonts w:ascii="Segoe UI" w:hAnsi="Segoe UI" w:eastAsia="Microsoft YaHei" w:cs="Segoe UI"/>
      <w:b w:val="1"/>
      <w:bCs w:val="1"/>
      <w:color w:val="000000"/>
      <w:sz w:val="36"/>
      <w:szCs w:val="36"/>
      <w:i w:val="0"/>
      <w:iCs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240" w:after="160" w:line="420" w:lineRule="exact"/>
      <w:ind w:left="0" w:right="0" w:firstLine="0"/>
      <w:outlineLvl w:val="1"/>
      <w:snapToGrid w:val="0"/>
    </w:pPr>
    <w:rPr>
      <w:rFonts w:ascii="Segoe UI" w:hAnsi="Segoe UI" w:eastAsia="Microsoft YaHei" w:cs="Segoe UI"/>
      <w:b w:val="1"/>
      <w:bCs w:val="1"/>
      <w:color w:val="000000"/>
      <w:sz w:val="27"/>
      <w:szCs w:val="27"/>
      <w:i w:val="0"/>
      <w:iCs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200" w:after="120" w:line="380" w:lineRule="exact"/>
      <w:ind w:left="0" w:right="0" w:firstLine="0"/>
      <w:outlineLvl w:val="2"/>
      <w:snapToGrid w:val="0"/>
    </w:pPr>
    <w:rPr>
      <w:rFonts w:ascii="Segoe UI" w:hAnsi="Segoe UI" w:eastAsia="Microsoft YaHei" w:cs="Segoe UI"/>
      <w:b w:val="1"/>
      <w:bCs w:val="1"/>
      <w:color w:val="000000"/>
      <w:sz w:val="23"/>
      <w:szCs w:val="23"/>
      <w:i w:val="0"/>
      <w:i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i w:val="0"/>
      <w:iCs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 w:val="0"/>
      <w:iCs w:val="0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 w:val="0"/>
      <w:iCs w:val="0"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i w:val="0"/>
      <w:iCs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 w:val="0"/>
      <w:iCs w:val="0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widowControl/>
      <w:spacing w:after="280" w:line="800" w:lineRule="exact" w:before="0"/>
      <w:ind w:left="0" w:right="0" w:firstLine="0"/>
      <w:contextualSpacing/>
      <w:snapToGrid w:val="0"/>
    </w:pPr>
    <w:rPr>
      <w:rFonts w:ascii="Segoe UI" w:hAnsi="Segoe UI" w:eastAsia="Microsoft YaHei" w:cs="Segoe UI"/>
      <w:color w:val="000000"/>
      <w:spacing w:val="5"/>
      <w:kern w:val="28"/>
      <w:sz w:val="56"/>
      <w:szCs w:val="56"/>
      <w:b w:val="1"/>
      <w:bCs w:val="1"/>
      <w:i w:val="0"/>
      <w:iCs w:val="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 w:val="0"/>
      <w:widowControl/>
      <w:numPr>
        <w:ilvl w:val="1"/>
      </w:numPr>
      <w:spacing w:before="0" w:after="240" w:line="400" w:lineRule="exact"/>
      <w:ind w:left="0" w:right="0" w:firstLine="0"/>
      <w:snapToGrid w:val="0"/>
    </w:pPr>
    <w:rPr>
      <w:rFonts w:ascii="Segoe UI" w:hAnsi="Segoe UI" w:eastAsia="Microsoft YaHei" w:cs="Segoe UI"/>
      <w:i w:val="0"/>
      <w:iCs w:val="0"/>
      <w:color w:val="000000"/>
      <w:spacing w:val="15"/>
      <w:sz w:val="24"/>
      <w:szCs w:val="24"/>
      <w:b w:val="0"/>
      <w:bCs w:val="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i w:val="0"/>
      <w:iCs w:val="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i w:val="0"/>
      <w:iCs w:val="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i w:val="0"/>
      <w:iCs w:val="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i w:val="0"/>
      <w:iCs w:val="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i w:val="0"/>
      <w:iCs w:val="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i w:val="0"/>
      <w:iCs w:val="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i w:val="0"/>
      <w:iCs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i w:val="0"/>
      <w:iCs w:val="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i w:val="0"/>
      <w:iCs w:val="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i w:val="0"/>
      <w:iCs w:val="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i w:val="0"/>
      <w:iCs w:val="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i w:val="0"/>
      <w:iCs w:val="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i w:val="0"/>
      <w:iCs w:val="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i w:val="0"/>
      <w:iCs w:val="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i w:val="0"/>
      <w:iCs w:val="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i w:val="0"/>
      <w:iCs w:val="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 w:val="0"/>
      <w:iCs w:val="0"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i w:val="0"/>
      <w:iCs w:val="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 w:val="0"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i w:val="0"/>
      <w:iCs w:val="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PolloCaption">
    <w:name w:val="iPollo Caption"/>
    <w:pPr>
      <w:keepNext w:val="0"/>
      <w:keepLines w:val="0"/>
      <w:widowControl/>
      <w:spacing w:before="100" w:after="140" w:line="28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Metadata">
    <w:name w:val="iPollo Metadata"/>
    <w:pPr>
      <w:keepNext w:val="0"/>
      <w:keepLines w:val="0"/>
      <w:widowControl/>
      <w:spacing w:before="0" w:after="180" w:line="30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TOC">
    <w:name w:val="iPollo TOC"/>
    <w:pPr>
      <w:keepNext w:val="0"/>
      <w:keepLines w:val="0"/>
      <w:widowControl/>
      <w:spacing w:before="0" w:after="80" w:line="320" w:lineRule="exact"/>
      <w:ind w:left="0" w:right="0" w:firstLine="0"/>
      <w:snapToGrid w:val="0"/>
    </w:pPr>
    <w:rPr>
      <w:rFonts w:ascii="Segoe UI" w:hAnsi="Segoe UI" w:eastAsia="Microsoft YaHei" w:cs="Segoe UI"/>
      <w:sz w:val="20"/>
      <w:szCs w:val="20"/>
      <w:color w:val="161E24"/>
      <w:b w:val="0"/>
      <w:bCs w:val="0"/>
      <w:i w:val="0"/>
      <w:iCs w:val="0"/>
    </w:rPr>
  </w:style>
  <w:style w:type="paragraph" w:customStyle="1" w:styleId="FigureGuide">
    <w:name w:val="Figure Guide"/>
    <w:pPr>
      <w:keepLines w:val="0"/>
      <w:widowControl/>
      <w:spacing w:before="0" w:after="240" w:line="300" w:lineRule="exact"/>
    </w:pPr>
    <w:rPr>
      <w:rFonts w:ascii="Segoe UI" w:hAnsi="Segoe UI" w:eastAsia="Microsoft YaHei" w:cs="Segoe UI"/>
      <w:sz w:val="19"/>
      <w:szCs w:val="19"/>
      <w:b w:val="0"/>
      <w:bCs w:val="0"/>
      <w:color w:val="5A6774"/>
      <w:i w:val="0"/>
      <w:iCs w:val="0"/>
    </w:rPr>
  </w:style>
  <w:style w:type="paragraph" w:customStyle="1" w:styleId="CoverEyebrow">
    <w:name w:val="Cover Eyebrow"/>
    <w:pPr>
      <w:keepLines w:val="0"/>
      <w:widowControl/>
      <w:spacing w:before="0" w:after="280" w:line="320" w:lineRule="exact"/>
    </w:pPr>
    <w:rPr>
      <w:rFonts w:ascii="Segoe UI" w:hAnsi="Segoe UI" w:eastAsia="Microsoft YaHei" w:cs="Segoe UI"/>
      <w:sz w:val="18"/>
      <w:szCs w:val="18"/>
      <w:b w:val="0"/>
      <w:bCs w:val="0"/>
      <w:color w:val="5A6774"/>
      <w:i w:val="0"/>
      <w:iCs w:val="0"/>
    </w:rPr>
  </w:style>
  <w:style w:type="paragraph" w:customStyle="1" w:styleId="FrontTitle">
    <w:name w:val="Front Title"/>
    <w:pPr>
      <w:widowControl/>
      <w:spacing w:before="0" w:after="440" w:line="600" w:lineRule="exact"/>
      <w:ind w:firstLine="0" w:left="0" w:right="0"/>
    </w:pPr>
    <w:rPr>
      <w:rFonts w:ascii="Segoe UI" w:hAnsi="Segoe UI" w:eastAsia="Microsoft YaHei" w:cs="Segoe UI"/>
      <w:sz w:val="40"/>
      <w:szCs w:val="40"/>
      <w:b w:val="1"/>
      <w:bCs w:val="1"/>
      <w:color w:val="000000"/>
      <w:i w:val="0"/>
      <w:iCs w:val="0"/>
    </w:rPr>
  </w:style>
  <w:style w:type="paragraph" w:customStyle="1" w:styleId="AbstractBody">
    <w:name w:val="Abstract Body"/>
    <w:pPr>
      <w:widowControl/>
      <w:spacing w:before="0" w:after="160" w:line="400" w:lineRule="exact"/>
      <w:ind w:firstLine="0" w:left="0" w:right="0"/>
    </w:pPr>
    <w:rPr>
      <w:rFonts w:ascii="Segoe UI" w:hAnsi="Segoe UI" w:eastAsia="Microsoft YaHei" w:cs="Segoe UI"/>
      <w:sz w:val="22"/>
      <w:szCs w:val="22"/>
      <w:b w:val="0"/>
      <w:bCs w:val="0"/>
      <w:color w:val="161E24"/>
      <w:i w:val="0"/>
      <w:iCs w:val="0"/>
    </w:rPr>
  </w:style>
  <w:style w:type="paragraph" w:customStyle="1" w:styleId="FrontMetadata">
    <w:name w:val="Front Metadata"/>
    <w:pPr>
      <w:widowControl/>
      <w:spacing w:before="0" w:after="180" w:line="340" w:lineRule="exact"/>
      <w:ind w:firstLine="0" w:left="0" w:right="0"/>
    </w:pPr>
    <w:rPr>
      <w:rFonts w:ascii="Segoe UI" w:hAnsi="Segoe UI" w:eastAsia="Microsoft YaHei" w:cs="Segoe UI"/>
      <w:sz w:val="20"/>
      <w:szCs w:val="20"/>
      <w:b w:val="0"/>
      <w:bCs w:val="0"/>
      <w:color w:val="5A6774"/>
      <w:i w:val="0"/>
      <w:iCs w:val="0"/>
    </w:rPr>
  </w:style>
  <w:style w:type="paragraph" w:customStyle="1" w:styleId="TOC1">
    <w:name w:val="TOC 1"/>
    <w:pPr>
      <w:widowControl/>
      <w:spacing w:before="160" w:after="60" w:line="320" w:lineRule="exact"/>
      <w:ind w:firstLine="0" w:left="0" w:right="0"/>
    </w:pPr>
    <w:rPr>
      <w:rFonts w:ascii="Segoe UI" w:hAnsi="Segoe UI" w:eastAsia="Microsoft YaHei" w:cs="Segoe UI"/>
      <w:sz w:val="22"/>
      <w:szCs w:val="22"/>
      <w:b w:val="1"/>
      <w:bCs w:val="1"/>
      <w:color w:val="177D83"/>
      <w:i w:val="0"/>
      <w:iCs w:val="0"/>
    </w:rPr>
  </w:style>
  <w:style w:type="paragraph" w:customStyle="1" w:styleId="TOC2">
    <w:name w:val="TOC 2"/>
    <w:pPr>
      <w:widowControl/>
      <w:spacing w:before="0" w:after="60" w:line="320" w:lineRule="exact"/>
      <w:ind w:firstLine="0" w:left="0" w:right="0"/>
    </w:pPr>
    <w:rPr>
      <w:rFonts w:ascii="Segoe UI" w:hAnsi="Segoe UI" w:eastAsia="Microsoft YaHei" w:cs="Segoe UI"/>
      <w:sz w:val="21"/>
      <w:szCs w:val="21"/>
      <w:b w:val="0"/>
      <w:bCs w:val="0"/>
      <w:color w:val="161E24"/>
      <w:i w:val="0"/>
      <w:iCs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iPolloOS 功能使用手册</dc:title>
  <dc:subject>iPollo 产品文档体系</dc:subject>
  <dc:creator>iPollo</dc:creator>
  <cp:keywords>iPollo 功能使用 协同 教程</cp:keywords>
  <dc:description>generated by python-docx</dc:description>
  <cp:lastModifiedBy>iPollo</cp:lastModifiedBy>
  <cp:revision>4</cp:revision>
  <dcterms:created xsi:type="dcterms:W3CDTF">2013-12-23T23:15:00Z</dcterms:created>
  <dcterms:modified xsi:type="dcterms:W3CDTF">2013-12-23T23:15:00Z</dcterms:modified>
  <cp:category/>
</cp:coreProperties>
</file>